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6126480" cy="3447977"/>
            <wp:docPr id="1" name="Picture 1" descr="Body art educator teaching colour relationships to tattoo PMU and SMP artists"/>
            <wp:cNvGraphicFramePr>
              <a:graphicFrameLocks noChangeAspect="1"/>
            </wp:cNvGraphicFramePr>
            <a:graphic>
              <a:graphicData uri="http://schemas.openxmlformats.org/drawingml/2006/picture">
                <pic:pic>
                  <pic:nvPicPr>
                    <pic:cNvPr id="0" name="color-theory-hero.png"/>
                    <pic:cNvPicPr/>
                  </pic:nvPicPr>
                  <pic:blipFill>
                    <a:blip r:embed="rId10"/>
                    <a:stretch>
                      <a:fillRect/>
                    </a:stretch>
                  </pic:blipFill>
                  <pic:spPr>
                    <a:xfrm>
                      <a:off x="0" y="0"/>
                      <a:ext cx="6126480" cy="3447977"/>
                    </a:xfrm>
                    <a:prstGeom prst="rect"/>
                  </pic:spPr>
                </pic:pic>
              </a:graphicData>
            </a:graphic>
          </wp:inline>
        </w:drawing>
      </w:r>
    </w:p>
    <w:p>
      <w:pPr>
        <w:pStyle w:val="Title"/>
        <w:jc w:val="center"/>
      </w:pPr>
      <w:r>
        <w:t>Body Art Color Theory</w:t>
      </w:r>
    </w:p>
    <w:p>
      <w:pPr>
        <w:pStyle w:val="Subtitle"/>
        <w:jc w:val="center"/>
      </w:pPr>
      <w:r>
        <w:t>Practical Workbook</w:t>
      </w:r>
    </w:p>
    <w:p>
      <w:pPr>
        <w:spacing w:after="100"/>
        <w:jc w:val="center"/>
      </w:pPr>
      <w:r>
        <w:rPr>
          <w:rFonts w:ascii="Aptos" w:hAnsi="Aptos"/>
          <w:b/>
          <w:color w:val="A87820"/>
          <w:sz w:val="18"/>
        </w:rPr>
        <w:t>BAQA SKILL DEVELOPMENT SHORT COURSE  |  USD 10  |  ABOUT 90 MINUTES PLUS FOUR PRACTICAL ACTIVITIES</w:t>
      </w:r>
    </w:p>
    <w:p>
      <w:pPr>
        <w:spacing w:before="80" w:after="200"/>
        <w:jc w:val="center"/>
      </w:pPr>
      <w:r>
        <w:t>Understand colour relationships, skin tone, pigment behaviour, healed colour and correction planning across tattooing, PMU and SMP.</w:t>
      </w:r>
    </w:p>
    <w:p>
      <w:pPr>
        <w:pStyle w:val="Heading1"/>
      </w:pPr>
      <w:r>
        <w:t>How to use this workbook</w:t>
      </w:r>
    </w:p>
    <w:p>
      <w:pPr>
        <w:spacing w:after="160"/>
      </w:pPr>
      <w:r>
        <w:t>Complete each activity after the matching lesson. Use examples from procedures you are already trained and authorised to perform. Keep the workbook as evidence of continuing professional development and review it when products, studio systems or local requirements change.</w:t>
      </w:r>
    </w:p>
    <w:p>
      <w:pPr>
        <w:pStyle w:val="Heading2"/>
      </w:pPr>
      <w:r>
        <w:t>Course boundary</w:t>
      </w:r>
    </w:p>
    <w:p>
      <w:r>
        <w:t>This short course explains colour-planning principles. It does not qualify a learner to perform tattooing, permanent makeup, microblading or scalp micropigmentation, approve a product, prescribe a pigment formula, diagnose a skin condition or guarantee a healed result. Use only lawful products intended for the procedure, follow the manufacturer's current instructions, work within your training and follow local requirements.</w:t>
      </w:r>
    </w:p>
    <w:p>
      <w:pPr>
        <w:spacing w:before="80" w:after="40"/>
      </w:pPr>
      <w:r>
        <w:rPr>
          <w:rFonts w:ascii="Aptos" w:hAnsi="Aptos"/>
          <w:b/>
          <w:color w:val="000000"/>
          <w:sz w:val="21"/>
        </w:rPr>
        <w:t>Learner name</w:t>
      </w:r>
    </w:p>
    <w:p>
      <w:pPr>
        <w:spacing w:before="0" w:after="20"/>
      </w:pPr>
      <w:r>
        <w:rPr>
          <w:rFonts w:ascii="Aptos" w:hAnsi="Aptos"/>
          <w:b w:val="0"/>
          <w:color w:val="777777"/>
          <w:sz w:val="18"/>
        </w:rPr>
        <w:t>_______________________________________________________________________________________________</w:t>
      </w:r>
    </w:p>
    <w:p>
      <w:pPr>
        <w:spacing w:before="80" w:after="40"/>
      </w:pPr>
      <w:r>
        <w:rPr>
          <w:rFonts w:ascii="Aptos" w:hAnsi="Aptos"/>
          <w:b/>
          <w:color w:val="000000"/>
          <w:sz w:val="21"/>
        </w:rPr>
        <w:t>Studio and country or region</w:t>
      </w:r>
    </w:p>
    <w:p>
      <w:pPr>
        <w:spacing w:before="0" w:after="20"/>
      </w:pPr>
      <w:r>
        <w:rPr>
          <w:rFonts w:ascii="Aptos" w:hAnsi="Aptos"/>
          <w:b w:val="0"/>
          <w:color w:val="777777"/>
          <w:sz w:val="18"/>
        </w:rPr>
        <w:t>_______________________________________________________________________________________________</w:t>
      </w:r>
    </w:p>
    <w:p>
      <w:pPr>
        <w:sectPr>
          <w:footerReference w:type="default" r:id="rId9"/>
          <w:pgSz w:w="12240" w:h="15840"/>
          <w:pgMar w:top="1008" w:right="1080" w:bottom="936" w:left="1080" w:header="720" w:footer="720" w:gutter="0"/>
          <w:cols w:space="720"/>
          <w:docGrid w:linePitch="360"/>
        </w:sectPr>
      </w:pPr>
    </w:p>
    <w:p>
      <w:pPr>
        <w:spacing w:after="100"/>
      </w:pPr>
      <w:r>
        <w:rPr>
          <w:rFonts w:ascii="Aptos" w:hAnsi="Aptos"/>
          <w:b/>
          <w:color w:val="A87820"/>
          <w:sz w:val="18"/>
        </w:rPr>
        <w:t>LESSON 1  |  15 MINUTES PLUS A 10-MINUTE ACTIVITY</w:t>
      </w:r>
    </w:p>
    <w:p>
      <w:pPr>
        <w:pStyle w:val="Heading1"/>
      </w:pPr>
      <w:r>
        <w:t>See and Describe Colour Clearly</w:t>
      </w:r>
    </w:p>
    <w:p>
      <w:pPr>
        <w:spacing w:after="80"/>
        <w:jc w:val="right"/>
      </w:pPr>
      <w:r>
        <w:drawing>
          <wp:inline xmlns:a="http://schemas.openxmlformats.org/drawingml/2006/main" xmlns:pic="http://schemas.openxmlformats.org/drawingml/2006/picture">
            <wp:extent cx="2331720" cy="1312290"/>
            <wp:docPr id="2" name="Picture 2" descr="Body art educator teaching colour relationships to tattoo PMU and SMP artists"/>
            <wp:cNvGraphicFramePr>
              <a:graphicFrameLocks noChangeAspect="1"/>
            </wp:cNvGraphicFramePr>
            <a:graphic>
              <a:graphicData uri="http://schemas.openxmlformats.org/drawingml/2006/picture">
                <pic:pic>
                  <pic:nvPicPr>
                    <pic:cNvPr id="0" name="color-theory-hero.png"/>
                    <pic:cNvPicPr/>
                  </pic:nvPicPr>
                  <pic:blipFill>
                    <a:blip r:embed="rId10"/>
                    <a:stretch>
                      <a:fillRect/>
                    </a:stretch>
                  </pic:blipFill>
                  <pic:spPr>
                    <a:xfrm>
                      <a:off x="0" y="0"/>
                      <a:ext cx="2331720" cy="1312290"/>
                    </a:xfrm>
                    <a:prstGeom prst="rect"/>
                  </pic:spPr>
                </pic:pic>
              </a:graphicData>
            </a:graphic>
          </wp:inline>
        </w:drawing>
      </w:r>
    </w:p>
    <w:p>
      <w:r>
        <w:t>Use hue, value and chroma to discuss colour accurately instead of relying on vague names.</w:t>
      </w:r>
    </w:p>
    <w:p>
      <w:pPr>
        <w:pStyle w:val="Heading2"/>
      </w:pPr>
      <w:r>
        <w:t>Lesson check</w:t>
      </w:r>
    </w:p>
    <w:p>
      <w:pPr>
        <w:pStyle w:val="ListBullet"/>
      </w:pPr>
      <w:r>
        <w:rPr>
          <w:rFonts w:ascii="Aptos" w:hAnsi="Aptos"/>
          <w:b w:val="0"/>
          <w:color w:val="000000"/>
          <w:sz w:val="20"/>
        </w:rPr>
        <w:t>Explain hue, value and chroma in everyday language.</w:t>
      </w:r>
    </w:p>
    <w:p>
      <w:pPr>
        <w:pStyle w:val="ListBullet"/>
      </w:pPr>
      <w:r>
        <w:rPr>
          <w:rFonts w:ascii="Aptos" w:hAnsi="Aptos"/>
          <w:b w:val="0"/>
          <w:color w:val="000000"/>
          <w:sz w:val="20"/>
        </w:rPr>
        <w:t>Describe how lighting and surrounding colour change what you think you see.</w:t>
      </w:r>
    </w:p>
    <w:p>
      <w:pPr>
        <w:pStyle w:val="ListBullet"/>
      </w:pPr>
      <w:r>
        <w:rPr>
          <w:rFonts w:ascii="Aptos" w:hAnsi="Aptos"/>
          <w:b w:val="0"/>
          <w:color w:val="000000"/>
          <w:sz w:val="20"/>
        </w:rPr>
        <w:t>Create a repeatable colour-observation setup for consultations and healed-result reviews.</w:t>
      </w:r>
    </w:p>
    <w:p>
      <w:pPr>
        <w:pStyle w:val="Heading2"/>
      </w:pPr>
      <w:r>
        <w:t>Practical activity</w:t>
      </w:r>
    </w:p>
    <w:p>
      <w:r>
        <w:t>Choose three lawful pigment or ink samples from one manufacturer system. Under neutral light, describe each sample by hue, value and chroma. Repeat the exercise under a warmer light and record what appears to change.</w:t>
      </w:r>
    </w:p>
    <w:p>
      <w:pPr>
        <w:spacing w:before="80" w:after="40"/>
      </w:pPr>
      <w:r>
        <w:rPr>
          <w:rFonts w:ascii="Aptos" w:hAnsi="Aptos"/>
          <w:b/>
          <w:color w:val="000000"/>
          <w:sz w:val="21"/>
        </w:rPr>
        <w:t>What I observed or decided</w:t>
      </w:r>
    </w:p>
    <w:p>
      <w:pPr>
        <w:spacing w:before="0" w:after="20"/>
      </w:pPr>
      <w:r>
        <w:rPr>
          <w:rFonts w:ascii="Aptos" w:hAnsi="Aptos"/>
          <w:b w:val="0"/>
          <w:color w:val="777777"/>
          <w:sz w:val="18"/>
        </w:rPr>
        <w:t>_______________________________________________________________________________________________</w:t>
      </w:r>
    </w:p>
    <w:p>
      <w:pPr>
        <w:spacing w:before="0" w:after="20"/>
      </w:pPr>
      <w:r>
        <w:rPr>
          <w:rFonts w:ascii="Aptos" w:hAnsi="Aptos"/>
          <w:b w:val="0"/>
          <w:color w:val="777777"/>
          <w:sz w:val="18"/>
        </w:rPr>
        <w:t>_______________________________________________________________________________________________</w:t>
      </w:r>
    </w:p>
    <w:p>
      <w:pPr>
        <w:spacing w:before="0" w:after="20"/>
      </w:pPr>
      <w:r>
        <w:rPr>
          <w:rFonts w:ascii="Aptos" w:hAnsi="Aptos"/>
          <w:b w:val="0"/>
          <w:color w:val="777777"/>
          <w:sz w:val="18"/>
        </w:rPr>
        <w:t>_______________________________________________________________________________________________</w:t>
      </w:r>
    </w:p>
    <w:p>
      <w:pPr>
        <w:spacing w:before="80" w:after="40"/>
      </w:pPr>
      <w:r>
        <w:rPr>
          <w:rFonts w:ascii="Aptos" w:hAnsi="Aptos"/>
          <w:b/>
          <w:color w:val="000000"/>
          <w:sz w:val="21"/>
        </w:rPr>
        <w:t>What I will change in my work</w:t>
      </w:r>
    </w:p>
    <w:p>
      <w:pPr>
        <w:spacing w:before="0" w:after="20"/>
      </w:pPr>
      <w:r>
        <w:rPr>
          <w:rFonts w:ascii="Aptos" w:hAnsi="Aptos"/>
          <w:b w:val="0"/>
          <w:color w:val="777777"/>
          <w:sz w:val="18"/>
        </w:rPr>
        <w:t>_______________________________________________________________________________________________</w:t>
      </w:r>
    </w:p>
    <w:p>
      <w:pPr>
        <w:spacing w:before="0" w:after="20"/>
      </w:pPr>
      <w:r>
        <w:rPr>
          <w:rFonts w:ascii="Aptos" w:hAnsi="Aptos"/>
          <w:b w:val="0"/>
          <w:color w:val="777777"/>
          <w:sz w:val="18"/>
        </w:rPr>
        <w:t>_______________________________________________________________________________________________</w:t>
      </w:r>
    </w:p>
    <w:p>
      <w:pPr>
        <w:spacing w:before="80" w:after="40"/>
      </w:pPr>
      <w:r>
        <w:rPr>
          <w:rFonts w:ascii="Aptos" w:hAnsi="Aptos"/>
          <w:b/>
          <w:color w:val="000000"/>
          <w:sz w:val="21"/>
        </w:rPr>
        <w:t>Evidence or local source checked</w:t>
      </w:r>
    </w:p>
    <w:p>
      <w:pPr>
        <w:spacing w:before="0" w:after="20"/>
      </w:pPr>
      <w:r>
        <w:rPr>
          <w:rFonts w:ascii="Aptos" w:hAnsi="Aptos"/>
          <w:b w:val="0"/>
          <w:color w:val="777777"/>
          <w:sz w:val="18"/>
        </w:rPr>
        <w:t>_______________________________________________________________________________________________</w:t>
      </w:r>
    </w:p>
    <w:p>
      <w:pPr>
        <w:sectPr>
          <w:pgSz w:w="12240" w:h="15840"/>
          <w:pgMar w:top="1008" w:right="1080" w:bottom="936" w:left="1080" w:header="720" w:footer="720" w:gutter="0"/>
          <w:cols w:space="720"/>
          <w:docGrid w:linePitch="360"/>
        </w:sectPr>
      </w:pPr>
    </w:p>
    <w:p>
      <w:pPr>
        <w:spacing w:after="100"/>
      </w:pPr>
      <w:r>
        <w:rPr>
          <w:rFonts w:ascii="Aptos" w:hAnsi="Aptos"/>
          <w:b/>
          <w:color w:val="A87820"/>
          <w:sz w:val="18"/>
        </w:rPr>
        <w:t>LESSON 2  |  15 MINUTES PLUS A 10-MINUTE ACTIVITY</w:t>
      </w:r>
    </w:p>
    <w:p>
      <w:pPr>
        <w:pStyle w:val="Heading1"/>
      </w:pPr>
      <w:r>
        <w:t>Skin Tone Undertone and Contrast</w:t>
      </w:r>
    </w:p>
    <w:p>
      <w:pPr>
        <w:spacing w:after="80"/>
        <w:jc w:val="right"/>
      </w:pPr>
      <w:r>
        <w:drawing>
          <wp:inline xmlns:a="http://schemas.openxmlformats.org/drawingml/2006/main" xmlns:pic="http://schemas.openxmlformats.org/drawingml/2006/picture">
            <wp:extent cx="2331720" cy="1312290"/>
            <wp:docPr id="3" name="Picture 3" descr="Body art artist comparing colour swatches with an adult client's natural skin in daylight"/>
            <wp:cNvGraphicFramePr>
              <a:graphicFrameLocks noChangeAspect="1"/>
            </wp:cNvGraphicFramePr>
            <a:graphic>
              <a:graphicData uri="http://schemas.openxmlformats.org/drawingml/2006/picture">
                <pic:pic>
                  <pic:nvPicPr>
                    <pic:cNvPr id="0" name="color-consultation.png"/>
                    <pic:cNvPicPr/>
                  </pic:nvPicPr>
                  <pic:blipFill>
                    <a:blip r:embed="rId11"/>
                    <a:stretch>
                      <a:fillRect/>
                    </a:stretch>
                  </pic:blipFill>
                  <pic:spPr>
                    <a:xfrm>
                      <a:off x="0" y="0"/>
                      <a:ext cx="2331720" cy="1312290"/>
                    </a:xfrm>
                    <a:prstGeom prst="rect"/>
                  </pic:spPr>
                </pic:pic>
              </a:graphicData>
            </a:graphic>
          </wp:inline>
        </w:drawing>
      </w:r>
    </w:p>
    <w:p>
      <w:r>
        <w:t>Separate visible skin depth, undertone and sun-response type when planning colour.</w:t>
      </w:r>
    </w:p>
    <w:p>
      <w:pPr>
        <w:pStyle w:val="Heading2"/>
      </w:pPr>
      <w:r>
        <w:t>Lesson check</w:t>
      </w:r>
    </w:p>
    <w:p>
      <w:pPr>
        <w:pStyle w:val="ListBullet"/>
      </w:pPr>
      <w:r>
        <w:rPr>
          <w:rFonts w:ascii="Aptos" w:hAnsi="Aptos"/>
          <w:b w:val="0"/>
          <w:color w:val="000000"/>
          <w:sz w:val="20"/>
        </w:rPr>
        <w:t>Explain why skin is part of the final visible colour.</w:t>
      </w:r>
    </w:p>
    <w:p>
      <w:pPr>
        <w:pStyle w:val="ListBullet"/>
      </w:pPr>
      <w:r>
        <w:rPr>
          <w:rFonts w:ascii="Aptos" w:hAnsi="Aptos"/>
          <w:b w:val="0"/>
          <w:color w:val="000000"/>
          <w:sz w:val="20"/>
        </w:rPr>
        <w:t>Avoid treating the Fitzpatrick scale as a complete colour-matching system.</w:t>
      </w:r>
    </w:p>
    <w:p>
      <w:pPr>
        <w:pStyle w:val="ListBullet"/>
      </w:pPr>
      <w:r>
        <w:rPr>
          <w:rFonts w:ascii="Aptos" w:hAnsi="Aptos"/>
          <w:b w:val="0"/>
          <w:color w:val="000000"/>
          <w:sz w:val="20"/>
        </w:rPr>
        <w:t>Use respectful observation and examples across a wide range of skin tones.</w:t>
      </w:r>
    </w:p>
    <w:p>
      <w:pPr>
        <w:pStyle w:val="Heading2"/>
      </w:pPr>
      <w:r>
        <w:t>Practical activity</w:t>
      </w:r>
    </w:p>
    <w:p>
      <w:r>
        <w:t>Create a consultation note with separate fields for visible skin depth, observed undertone, contrast needed, relevant sun-response history and the limits of the observation. Test it with three anonymised practice examples.</w:t>
      </w:r>
    </w:p>
    <w:p>
      <w:pPr>
        <w:spacing w:before="80" w:after="40"/>
      </w:pPr>
      <w:r>
        <w:rPr>
          <w:rFonts w:ascii="Aptos" w:hAnsi="Aptos"/>
          <w:b/>
          <w:color w:val="000000"/>
          <w:sz w:val="21"/>
        </w:rPr>
        <w:t>What I observed or decided</w:t>
      </w:r>
    </w:p>
    <w:p>
      <w:pPr>
        <w:spacing w:before="0" w:after="20"/>
      </w:pPr>
      <w:r>
        <w:rPr>
          <w:rFonts w:ascii="Aptos" w:hAnsi="Aptos"/>
          <w:b w:val="0"/>
          <w:color w:val="777777"/>
          <w:sz w:val="18"/>
        </w:rPr>
        <w:t>_______________________________________________________________________________________________</w:t>
      </w:r>
    </w:p>
    <w:p>
      <w:pPr>
        <w:spacing w:before="0" w:after="20"/>
      </w:pPr>
      <w:r>
        <w:rPr>
          <w:rFonts w:ascii="Aptos" w:hAnsi="Aptos"/>
          <w:b w:val="0"/>
          <w:color w:val="777777"/>
          <w:sz w:val="18"/>
        </w:rPr>
        <w:t>_______________________________________________________________________________________________</w:t>
      </w:r>
    </w:p>
    <w:p>
      <w:pPr>
        <w:spacing w:before="0" w:after="20"/>
      </w:pPr>
      <w:r>
        <w:rPr>
          <w:rFonts w:ascii="Aptos" w:hAnsi="Aptos"/>
          <w:b w:val="0"/>
          <w:color w:val="777777"/>
          <w:sz w:val="18"/>
        </w:rPr>
        <w:t>_______________________________________________________________________________________________</w:t>
      </w:r>
    </w:p>
    <w:p>
      <w:pPr>
        <w:spacing w:before="80" w:after="40"/>
      </w:pPr>
      <w:r>
        <w:rPr>
          <w:rFonts w:ascii="Aptos" w:hAnsi="Aptos"/>
          <w:b/>
          <w:color w:val="000000"/>
          <w:sz w:val="21"/>
        </w:rPr>
        <w:t>What I will change in my work</w:t>
      </w:r>
    </w:p>
    <w:p>
      <w:pPr>
        <w:spacing w:before="0" w:after="20"/>
      </w:pPr>
      <w:r>
        <w:rPr>
          <w:rFonts w:ascii="Aptos" w:hAnsi="Aptos"/>
          <w:b w:val="0"/>
          <w:color w:val="777777"/>
          <w:sz w:val="18"/>
        </w:rPr>
        <w:t>_______________________________________________________________________________________________</w:t>
      </w:r>
    </w:p>
    <w:p>
      <w:pPr>
        <w:spacing w:before="0" w:after="20"/>
      </w:pPr>
      <w:r>
        <w:rPr>
          <w:rFonts w:ascii="Aptos" w:hAnsi="Aptos"/>
          <w:b w:val="0"/>
          <w:color w:val="777777"/>
          <w:sz w:val="18"/>
        </w:rPr>
        <w:t>_______________________________________________________________________________________________</w:t>
      </w:r>
    </w:p>
    <w:p>
      <w:pPr>
        <w:spacing w:before="80" w:after="40"/>
      </w:pPr>
      <w:r>
        <w:rPr>
          <w:rFonts w:ascii="Aptos" w:hAnsi="Aptos"/>
          <w:b/>
          <w:color w:val="000000"/>
          <w:sz w:val="21"/>
        </w:rPr>
        <w:t>Evidence or local source checked</w:t>
      </w:r>
    </w:p>
    <w:p>
      <w:pPr>
        <w:spacing w:before="0" w:after="20"/>
      </w:pPr>
      <w:r>
        <w:rPr>
          <w:rFonts w:ascii="Aptos" w:hAnsi="Aptos"/>
          <w:b w:val="0"/>
          <w:color w:val="777777"/>
          <w:sz w:val="18"/>
        </w:rPr>
        <w:t>_______________________________________________________________________________________________</w:t>
      </w:r>
    </w:p>
    <w:p>
      <w:pPr>
        <w:sectPr>
          <w:pgSz w:w="12240" w:h="15840"/>
          <w:pgMar w:top="1008" w:right="1080" w:bottom="936" w:left="1080" w:header="720" w:footer="720" w:gutter="0"/>
          <w:cols w:space="720"/>
          <w:docGrid w:linePitch="360"/>
        </w:sectPr>
      </w:pPr>
    </w:p>
    <w:p>
      <w:pPr>
        <w:spacing w:after="100"/>
      </w:pPr>
      <w:r>
        <w:rPr>
          <w:rFonts w:ascii="Aptos" w:hAnsi="Aptos"/>
          <w:b/>
          <w:color w:val="A87820"/>
          <w:sz w:val="18"/>
        </w:rPr>
        <w:t>LESSON 3  |  20 MINUTES PLUS A 10-MINUTE ACTIVITY</w:t>
      </w:r>
    </w:p>
    <w:p>
      <w:pPr>
        <w:pStyle w:val="Heading1"/>
      </w:pPr>
      <w:r>
        <w:t>Pigment Behaviour and Safe Product Use</w:t>
      </w:r>
    </w:p>
    <w:p>
      <w:pPr>
        <w:spacing w:after="80"/>
        <w:jc w:val="right"/>
      </w:pPr>
      <w:r>
        <w:drawing>
          <wp:inline xmlns:a="http://schemas.openxmlformats.org/drawingml/2006/main" xmlns:pic="http://schemas.openxmlformats.org/drawingml/2006/picture">
            <wp:extent cx="2331720" cy="1312290"/>
            <wp:docPr id="4" name="Picture 4" descr="Body art educator teaching colour relationships to tattoo PMU and SMP artists"/>
            <wp:cNvGraphicFramePr>
              <a:graphicFrameLocks noChangeAspect="1"/>
            </wp:cNvGraphicFramePr>
            <a:graphic>
              <a:graphicData uri="http://schemas.openxmlformats.org/drawingml/2006/picture">
                <pic:pic>
                  <pic:nvPicPr>
                    <pic:cNvPr id="0" name="color-theory-hero.png"/>
                    <pic:cNvPicPr/>
                  </pic:nvPicPr>
                  <pic:blipFill>
                    <a:blip r:embed="rId10"/>
                    <a:stretch>
                      <a:fillRect/>
                    </a:stretch>
                  </pic:blipFill>
                  <pic:spPr>
                    <a:xfrm>
                      <a:off x="0" y="0"/>
                      <a:ext cx="2331720" cy="1312290"/>
                    </a:xfrm>
                    <a:prstGeom prst="rect"/>
                  </pic:spPr>
                </pic:pic>
              </a:graphicData>
            </a:graphic>
          </wp:inline>
        </w:drawing>
      </w:r>
    </w:p>
    <w:p>
      <w:r>
        <w:t>Connect product choice, application, healing and fading without inventing unsafe mixing rules.</w:t>
      </w:r>
    </w:p>
    <w:p>
      <w:pPr>
        <w:pStyle w:val="Heading2"/>
      </w:pPr>
      <w:r>
        <w:t>Lesson check</w:t>
      </w:r>
    </w:p>
    <w:p>
      <w:pPr>
        <w:pStyle w:val="ListBullet"/>
      </w:pPr>
      <w:r>
        <w:rPr>
          <w:rFonts w:ascii="Aptos" w:hAnsi="Aptos"/>
          <w:b w:val="0"/>
          <w:color w:val="000000"/>
          <w:sz w:val="20"/>
        </w:rPr>
        <w:t>Explain why fresh and healed colour are not identical.</w:t>
      </w:r>
    </w:p>
    <w:p>
      <w:pPr>
        <w:pStyle w:val="ListBullet"/>
      </w:pPr>
      <w:r>
        <w:rPr>
          <w:rFonts w:ascii="Aptos" w:hAnsi="Aptos"/>
          <w:b w:val="0"/>
          <w:color w:val="000000"/>
          <w:sz w:val="20"/>
        </w:rPr>
        <w:t>Use product labels, lot records and manufacturer instructions when planning colour.</w:t>
      </w:r>
    </w:p>
    <w:p>
      <w:pPr>
        <w:pStyle w:val="ListBullet"/>
      </w:pPr>
      <w:r>
        <w:rPr>
          <w:rFonts w:ascii="Aptos" w:hAnsi="Aptos"/>
          <w:b w:val="0"/>
          <w:color w:val="000000"/>
          <w:sz w:val="20"/>
        </w:rPr>
        <w:t>Avoid unsafe cross-brand mixing and improvised dilution.</w:t>
      </w:r>
    </w:p>
    <w:p>
      <w:pPr>
        <w:pStyle w:val="Heading2"/>
      </w:pPr>
      <w:r>
        <w:t>Practical activity</w:t>
      </w:r>
    </w:p>
    <w:p>
      <w:r>
        <w:t>Audit five pigments or inks in your studio. Record intended use, manufacturer, lot, expiry, storage instructions, supported mixing information and where safety or recall information can be checked.</w:t>
      </w:r>
    </w:p>
    <w:p>
      <w:pPr>
        <w:spacing w:before="80" w:after="40"/>
      </w:pPr>
      <w:r>
        <w:rPr>
          <w:rFonts w:ascii="Aptos" w:hAnsi="Aptos"/>
          <w:b/>
          <w:color w:val="000000"/>
          <w:sz w:val="21"/>
        </w:rPr>
        <w:t>What I observed or decided</w:t>
      </w:r>
    </w:p>
    <w:p>
      <w:pPr>
        <w:spacing w:before="0" w:after="20"/>
      </w:pPr>
      <w:r>
        <w:rPr>
          <w:rFonts w:ascii="Aptos" w:hAnsi="Aptos"/>
          <w:b w:val="0"/>
          <w:color w:val="777777"/>
          <w:sz w:val="18"/>
        </w:rPr>
        <w:t>_______________________________________________________________________________________________</w:t>
      </w:r>
    </w:p>
    <w:p>
      <w:pPr>
        <w:spacing w:before="0" w:after="20"/>
      </w:pPr>
      <w:r>
        <w:rPr>
          <w:rFonts w:ascii="Aptos" w:hAnsi="Aptos"/>
          <w:b w:val="0"/>
          <w:color w:val="777777"/>
          <w:sz w:val="18"/>
        </w:rPr>
        <w:t>_______________________________________________________________________________________________</w:t>
      </w:r>
    </w:p>
    <w:p>
      <w:pPr>
        <w:spacing w:before="0" w:after="20"/>
      </w:pPr>
      <w:r>
        <w:rPr>
          <w:rFonts w:ascii="Aptos" w:hAnsi="Aptos"/>
          <w:b w:val="0"/>
          <w:color w:val="777777"/>
          <w:sz w:val="18"/>
        </w:rPr>
        <w:t>_______________________________________________________________________________________________</w:t>
      </w:r>
    </w:p>
    <w:p>
      <w:pPr>
        <w:spacing w:before="80" w:after="40"/>
      </w:pPr>
      <w:r>
        <w:rPr>
          <w:rFonts w:ascii="Aptos" w:hAnsi="Aptos"/>
          <w:b/>
          <w:color w:val="000000"/>
          <w:sz w:val="21"/>
        </w:rPr>
        <w:t>What I will change in my work</w:t>
      </w:r>
    </w:p>
    <w:p>
      <w:pPr>
        <w:spacing w:before="0" w:after="20"/>
      </w:pPr>
      <w:r>
        <w:rPr>
          <w:rFonts w:ascii="Aptos" w:hAnsi="Aptos"/>
          <w:b w:val="0"/>
          <w:color w:val="777777"/>
          <w:sz w:val="18"/>
        </w:rPr>
        <w:t>_______________________________________________________________________________________________</w:t>
      </w:r>
    </w:p>
    <w:p>
      <w:pPr>
        <w:spacing w:before="0" w:after="20"/>
      </w:pPr>
      <w:r>
        <w:rPr>
          <w:rFonts w:ascii="Aptos" w:hAnsi="Aptos"/>
          <w:b w:val="0"/>
          <w:color w:val="777777"/>
          <w:sz w:val="18"/>
        </w:rPr>
        <w:t>_______________________________________________________________________________________________</w:t>
      </w:r>
    </w:p>
    <w:p>
      <w:pPr>
        <w:spacing w:before="80" w:after="40"/>
      </w:pPr>
      <w:r>
        <w:rPr>
          <w:rFonts w:ascii="Aptos" w:hAnsi="Aptos"/>
          <w:b/>
          <w:color w:val="000000"/>
          <w:sz w:val="21"/>
        </w:rPr>
        <w:t>Evidence or local source checked</w:t>
      </w:r>
    </w:p>
    <w:p>
      <w:pPr>
        <w:spacing w:before="0" w:after="20"/>
      </w:pPr>
      <w:r>
        <w:rPr>
          <w:rFonts w:ascii="Aptos" w:hAnsi="Aptos"/>
          <w:b w:val="0"/>
          <w:color w:val="777777"/>
          <w:sz w:val="18"/>
        </w:rPr>
        <w:t>_______________________________________________________________________________________________</w:t>
      </w:r>
    </w:p>
    <w:p>
      <w:pPr>
        <w:sectPr>
          <w:pgSz w:w="12240" w:h="15840"/>
          <w:pgMar w:top="1008" w:right="1080" w:bottom="936" w:left="1080" w:header="720" w:footer="720" w:gutter="0"/>
          <w:cols w:space="720"/>
          <w:docGrid w:linePitch="360"/>
        </w:sectPr>
      </w:pPr>
    </w:p>
    <w:p>
      <w:pPr>
        <w:spacing w:after="100"/>
      </w:pPr>
      <w:r>
        <w:rPr>
          <w:rFonts w:ascii="Aptos" w:hAnsi="Aptos"/>
          <w:b/>
          <w:color w:val="A87820"/>
          <w:sz w:val="18"/>
        </w:rPr>
        <w:t>LESSON 4  |  20 MINUTES PLUS A 15-MINUTE ACTIVITY</w:t>
      </w:r>
    </w:p>
    <w:p>
      <w:pPr>
        <w:pStyle w:val="Heading1"/>
      </w:pPr>
      <w:r>
        <w:t>Neutralisation and Correction Planning</w:t>
      </w:r>
    </w:p>
    <w:p>
      <w:pPr>
        <w:spacing w:after="80"/>
        <w:jc w:val="right"/>
      </w:pPr>
      <w:r>
        <w:drawing>
          <wp:inline xmlns:a="http://schemas.openxmlformats.org/drawingml/2006/main" xmlns:pic="http://schemas.openxmlformats.org/drawingml/2006/picture">
            <wp:extent cx="2331720" cy="1312290"/>
            <wp:docPr id="5" name="Picture 5" descr="Body art artist and client reviewing healed colour results beside pigment samples"/>
            <wp:cNvGraphicFramePr>
              <a:graphicFrameLocks noChangeAspect="1"/>
            </wp:cNvGraphicFramePr>
            <a:graphic>
              <a:graphicData uri="http://schemas.openxmlformats.org/drawingml/2006/picture">
                <pic:pic>
                  <pic:nvPicPr>
                    <pic:cNvPr id="0" name="color-healed-results.png"/>
                    <pic:cNvPicPr/>
                  </pic:nvPicPr>
                  <pic:blipFill>
                    <a:blip r:embed="rId12"/>
                    <a:stretch>
                      <a:fillRect/>
                    </a:stretch>
                  </pic:blipFill>
                  <pic:spPr>
                    <a:xfrm>
                      <a:off x="0" y="0"/>
                      <a:ext cx="2331720" cy="1312290"/>
                    </a:xfrm>
                    <a:prstGeom prst="rect"/>
                  </pic:spPr>
                </pic:pic>
              </a:graphicData>
            </a:graphic>
          </wp:inline>
        </w:drawing>
      </w:r>
    </w:p>
    <w:p>
      <w:r>
        <w:t>Use complementary colour relationships as a planning aid while respecting product and procedure limits.</w:t>
      </w:r>
    </w:p>
    <w:p>
      <w:pPr>
        <w:pStyle w:val="Heading2"/>
      </w:pPr>
      <w:r>
        <w:t>Lesson check</w:t>
      </w:r>
    </w:p>
    <w:p>
      <w:pPr>
        <w:pStyle w:val="ListBullet"/>
      </w:pPr>
      <w:r>
        <w:rPr>
          <w:rFonts w:ascii="Aptos" w:hAnsi="Aptos"/>
          <w:b w:val="0"/>
          <w:color w:val="000000"/>
          <w:sz w:val="20"/>
        </w:rPr>
        <w:t>Use complementary colour relationships without treating them as automatic formulas.</w:t>
      </w:r>
    </w:p>
    <w:p>
      <w:pPr>
        <w:pStyle w:val="ListBullet"/>
      </w:pPr>
      <w:r>
        <w:rPr>
          <w:rFonts w:ascii="Aptos" w:hAnsi="Aptos"/>
          <w:b w:val="0"/>
          <w:color w:val="000000"/>
          <w:sz w:val="20"/>
        </w:rPr>
        <w:t>Assess the existing colour, skin, target and procedure history before correction.</w:t>
      </w:r>
    </w:p>
    <w:p>
      <w:pPr>
        <w:pStyle w:val="ListBullet"/>
      </w:pPr>
      <w:r>
        <w:rPr>
          <w:rFonts w:ascii="Aptos" w:hAnsi="Aptos"/>
          <w:b w:val="0"/>
          <w:color w:val="000000"/>
          <w:sz w:val="20"/>
        </w:rPr>
        <w:t>Recognise when removal, referral, healing time or no treatment is safer than adding colour.</w:t>
      </w:r>
    </w:p>
    <w:p>
      <w:pPr>
        <w:pStyle w:val="Heading2"/>
      </w:pPr>
      <w:r>
        <w:t>Practical activity</w:t>
      </w:r>
    </w:p>
    <w:p>
      <w:r>
        <w:t>Use the workbook to plan two fictional corrections. Record the healed starting colour, known product history, uncertainty, intended outcome, supported product system, alternatives, reasons to postpone and the point at which you would refer.</w:t>
      </w:r>
    </w:p>
    <w:p>
      <w:pPr>
        <w:spacing w:before="80" w:after="40"/>
      </w:pPr>
      <w:r>
        <w:rPr>
          <w:rFonts w:ascii="Aptos" w:hAnsi="Aptos"/>
          <w:b/>
          <w:color w:val="000000"/>
          <w:sz w:val="21"/>
        </w:rPr>
        <w:t>What I observed or decided</w:t>
      </w:r>
    </w:p>
    <w:p>
      <w:pPr>
        <w:spacing w:before="0" w:after="20"/>
      </w:pPr>
      <w:r>
        <w:rPr>
          <w:rFonts w:ascii="Aptos" w:hAnsi="Aptos"/>
          <w:b w:val="0"/>
          <w:color w:val="777777"/>
          <w:sz w:val="18"/>
        </w:rPr>
        <w:t>_______________________________________________________________________________________________</w:t>
      </w:r>
    </w:p>
    <w:p>
      <w:pPr>
        <w:spacing w:before="0" w:after="20"/>
      </w:pPr>
      <w:r>
        <w:rPr>
          <w:rFonts w:ascii="Aptos" w:hAnsi="Aptos"/>
          <w:b w:val="0"/>
          <w:color w:val="777777"/>
          <w:sz w:val="18"/>
        </w:rPr>
        <w:t>_______________________________________________________________________________________________</w:t>
      </w:r>
    </w:p>
    <w:p>
      <w:pPr>
        <w:spacing w:before="0" w:after="20"/>
      </w:pPr>
      <w:r>
        <w:rPr>
          <w:rFonts w:ascii="Aptos" w:hAnsi="Aptos"/>
          <w:b w:val="0"/>
          <w:color w:val="777777"/>
          <w:sz w:val="18"/>
        </w:rPr>
        <w:t>_______________________________________________________________________________________________</w:t>
      </w:r>
    </w:p>
    <w:p>
      <w:pPr>
        <w:spacing w:before="80" w:after="40"/>
      </w:pPr>
      <w:r>
        <w:rPr>
          <w:rFonts w:ascii="Aptos" w:hAnsi="Aptos"/>
          <w:b/>
          <w:color w:val="000000"/>
          <w:sz w:val="21"/>
        </w:rPr>
        <w:t>What I will change in my work</w:t>
      </w:r>
    </w:p>
    <w:p>
      <w:pPr>
        <w:spacing w:before="0" w:after="20"/>
      </w:pPr>
      <w:r>
        <w:rPr>
          <w:rFonts w:ascii="Aptos" w:hAnsi="Aptos"/>
          <w:b w:val="0"/>
          <w:color w:val="777777"/>
          <w:sz w:val="18"/>
        </w:rPr>
        <w:t>_______________________________________________________________________________________________</w:t>
      </w:r>
    </w:p>
    <w:p>
      <w:pPr>
        <w:spacing w:before="0" w:after="20"/>
      </w:pPr>
      <w:r>
        <w:rPr>
          <w:rFonts w:ascii="Aptos" w:hAnsi="Aptos"/>
          <w:b w:val="0"/>
          <w:color w:val="777777"/>
          <w:sz w:val="18"/>
        </w:rPr>
        <w:t>_______________________________________________________________________________________________</w:t>
      </w:r>
    </w:p>
    <w:p>
      <w:pPr>
        <w:spacing w:before="80" w:after="40"/>
      </w:pPr>
      <w:r>
        <w:rPr>
          <w:rFonts w:ascii="Aptos" w:hAnsi="Aptos"/>
          <w:b/>
          <w:color w:val="000000"/>
          <w:sz w:val="21"/>
        </w:rPr>
        <w:t>Evidence or local source checked</w:t>
      </w:r>
    </w:p>
    <w:p>
      <w:pPr>
        <w:spacing w:before="0" w:after="20"/>
      </w:pPr>
      <w:r>
        <w:rPr>
          <w:rFonts w:ascii="Aptos" w:hAnsi="Aptos"/>
          <w:b w:val="0"/>
          <w:color w:val="777777"/>
          <w:sz w:val="18"/>
        </w:rPr>
        <w:t>_______________________________________________________________________________________________</w:t>
      </w:r>
    </w:p>
    <w:p>
      <w:pPr>
        <w:sectPr>
          <w:pgSz w:w="12240" w:h="15840"/>
          <w:pgMar w:top="1008" w:right="1080" w:bottom="936" w:left="1080" w:header="720" w:footer="720" w:gutter="0"/>
          <w:cols w:space="720"/>
          <w:docGrid w:linePitch="360"/>
        </w:sectPr>
      </w:pPr>
    </w:p>
    <w:p>
      <w:pPr>
        <w:spacing w:after="100"/>
      </w:pPr>
      <w:r>
        <w:rPr>
          <w:rFonts w:ascii="Aptos" w:hAnsi="Aptos"/>
          <w:b/>
          <w:color w:val="A87820"/>
          <w:sz w:val="18"/>
        </w:rPr>
        <w:t>COURSE COMPLETION</w:t>
      </w:r>
    </w:p>
    <w:p>
      <w:pPr>
        <w:pStyle w:val="Heading1"/>
      </w:pPr>
      <w:r>
        <w:t>Action Plan and Final Declaration</w:t>
      </w:r>
    </w:p>
    <w:p>
      <w:r>
        <w:t>Choose three improvements that are specific enough to complete and check. These may involve a consultation prompt, record, product control, referral route, lighting setup, training need or studio procedure.</w:t>
      </w:r>
    </w:p>
    <w:tbl>
      <w:tblPr>
        <w:tblW w:type="auto" w:w="0"/>
        <w:tblLayout w:type="fixed"/>
        <w:tblLook w:firstColumn="1" w:firstRow="1" w:lastColumn="0" w:lastRow="0" w:noHBand="0" w:noVBand="1" w:val="04A0"/>
      </w:tblPr>
      <w:tblGrid>
        <w:gridCol w:w="2520"/>
        <w:gridCol w:w="2520"/>
        <w:gridCol w:w="2520"/>
        <w:gridCol w:w="2520"/>
      </w:tblGrid>
      <w:tr>
        <w:trPr>
          <w:tblHeader w:val="true"/>
        </w:trPr>
        <w:tc>
          <w:tcPr>
            <w:tcW w:type="dxa" w:w="648"/>
            <w:shd w:fill="302C28"/>
            <w:tcBorders>
              <w:top w:val="single" w:sz="6" w:color="D9D9D9"/>
              <w:left w:val="single" w:sz="6" w:color="D9D9D9"/>
              <w:bottom w:val="single" w:sz="6" w:color="D9D9D9"/>
              <w:right w:val="single" w:sz="6" w:color="D9D9D9"/>
              <w:insideH w:val="single" w:sz="6" w:color="D9D9D9"/>
              <w:insideV w:val="single" w:sz="6" w:color="D9D9D9"/>
            </w:tcBorders>
            <w:tcMar>
              <w:top w:w="100" w:type="dxa"/>
              <w:start w:w="110" w:type="dxa"/>
              <w:bottom w:w="100" w:type="dxa"/>
              <w:end w:w="110" w:type="dxa"/>
            </w:tcMar>
          </w:tcPr>
          <w:p>
            <w:pPr>
              <w:jc w:val="center"/>
            </w:pPr>
            <w:r>
              <w:rPr>
                <w:rFonts w:ascii="Aptos" w:hAnsi="Aptos"/>
                <w:b/>
                <w:color w:val="FFFFFF"/>
                <w:sz w:val="19"/>
              </w:rPr>
              <w:t>No</w:t>
            </w:r>
          </w:p>
        </w:tc>
        <w:tc>
          <w:tcPr>
            <w:tcW w:type="dxa" w:w="4464"/>
            <w:shd w:fill="302C28"/>
            <w:tcBorders>
              <w:top w:val="single" w:sz="6" w:color="D9D9D9"/>
              <w:left w:val="single" w:sz="6" w:color="D9D9D9"/>
              <w:bottom w:val="single" w:sz="6" w:color="D9D9D9"/>
              <w:right w:val="single" w:sz="6" w:color="D9D9D9"/>
              <w:insideH w:val="single" w:sz="6" w:color="D9D9D9"/>
              <w:insideV w:val="single" w:sz="6" w:color="D9D9D9"/>
            </w:tcBorders>
            <w:tcMar>
              <w:top w:w="100" w:type="dxa"/>
              <w:start w:w="110" w:type="dxa"/>
              <w:bottom w:w="100" w:type="dxa"/>
              <w:end w:w="110" w:type="dxa"/>
            </w:tcMar>
          </w:tcPr>
          <w:p>
            <w:pPr>
              <w:jc w:val="center"/>
            </w:pPr>
            <w:r>
              <w:rPr>
                <w:rFonts w:ascii="Aptos" w:hAnsi="Aptos"/>
                <w:b/>
                <w:color w:val="FFFFFF"/>
                <w:sz w:val="19"/>
              </w:rPr>
              <w:t>Improvement</w:t>
            </w:r>
          </w:p>
        </w:tc>
        <w:tc>
          <w:tcPr>
            <w:tcW w:type="dxa" w:w="2376"/>
            <w:shd w:fill="302C28"/>
            <w:tcBorders>
              <w:top w:val="single" w:sz="6" w:color="D9D9D9"/>
              <w:left w:val="single" w:sz="6" w:color="D9D9D9"/>
              <w:bottom w:val="single" w:sz="6" w:color="D9D9D9"/>
              <w:right w:val="single" w:sz="6" w:color="D9D9D9"/>
              <w:insideH w:val="single" w:sz="6" w:color="D9D9D9"/>
              <w:insideV w:val="single" w:sz="6" w:color="D9D9D9"/>
            </w:tcBorders>
            <w:tcMar>
              <w:top w:w="100" w:type="dxa"/>
              <w:start w:w="110" w:type="dxa"/>
              <w:bottom w:w="100" w:type="dxa"/>
              <w:end w:w="110" w:type="dxa"/>
            </w:tcMar>
          </w:tcPr>
          <w:p>
            <w:pPr>
              <w:jc w:val="center"/>
            </w:pPr>
            <w:r>
              <w:rPr>
                <w:rFonts w:ascii="Aptos" w:hAnsi="Aptos"/>
                <w:b/>
                <w:color w:val="FFFFFF"/>
                <w:sz w:val="19"/>
              </w:rPr>
              <w:t>Owner</w:t>
            </w:r>
          </w:p>
        </w:tc>
        <w:tc>
          <w:tcPr>
            <w:tcW w:type="dxa" w:w="2376"/>
            <w:shd w:fill="302C28"/>
            <w:tcBorders>
              <w:top w:val="single" w:sz="6" w:color="D9D9D9"/>
              <w:left w:val="single" w:sz="6" w:color="D9D9D9"/>
              <w:bottom w:val="single" w:sz="6" w:color="D9D9D9"/>
              <w:right w:val="single" w:sz="6" w:color="D9D9D9"/>
              <w:insideH w:val="single" w:sz="6" w:color="D9D9D9"/>
              <w:insideV w:val="single" w:sz="6" w:color="D9D9D9"/>
            </w:tcBorders>
            <w:tcMar>
              <w:top w:w="100" w:type="dxa"/>
              <w:start w:w="110" w:type="dxa"/>
              <w:bottom w:w="100" w:type="dxa"/>
              <w:end w:w="110" w:type="dxa"/>
            </w:tcMar>
          </w:tcPr>
          <w:p>
            <w:pPr>
              <w:jc w:val="center"/>
            </w:pPr>
            <w:r>
              <w:rPr>
                <w:rFonts w:ascii="Aptos" w:hAnsi="Aptos"/>
                <w:b/>
                <w:color w:val="FFFFFF"/>
                <w:sz w:val="19"/>
              </w:rPr>
              <w:t>Review date</w:t>
            </w:r>
          </w:p>
        </w:tc>
      </w:tr>
      <w:tr>
        <w:tc>
          <w:tcPr>
            <w:tcW w:type="dxa" w:w="648"/>
            <w:vAlign w:val="center"/>
            <w:tcBorders>
              <w:top w:val="single" w:sz="6" w:color="D9D9D9"/>
              <w:left w:val="single" w:sz="6" w:color="D9D9D9"/>
              <w:bottom w:val="single" w:sz="6" w:color="D9D9D9"/>
              <w:right w:val="single" w:sz="6" w:color="D9D9D9"/>
              <w:insideH w:val="single" w:sz="6" w:color="D9D9D9"/>
              <w:insideV w:val="single" w:sz="6" w:color="D9D9D9"/>
            </w:tcBorders>
            <w:tcMar>
              <w:top w:w="100" w:type="dxa"/>
              <w:start w:w="110" w:type="dxa"/>
              <w:bottom w:w="100" w:type="dxa"/>
              <w:end w:w="110" w:type="dxa"/>
            </w:tcMar>
          </w:tcPr>
          <w:p>
            <w:pPr>
              <w:jc w:val="center"/>
            </w:pPr>
            <w:r>
              <w:rPr>
                <w:rFonts w:ascii="Aptos" w:hAnsi="Aptos"/>
                <w:b w:val="0"/>
                <w:color w:val="000000"/>
                <w:sz w:val="19"/>
              </w:rPr>
              <w:t>1</w:t>
            </w:r>
          </w:p>
        </w:tc>
        <w:tc>
          <w:tcPr>
            <w:tcW w:type="dxa" w:w="4464"/>
            <w:vAlign w:val="center"/>
            <w:tcBorders>
              <w:top w:val="single" w:sz="6" w:color="D9D9D9"/>
              <w:left w:val="single" w:sz="6" w:color="D9D9D9"/>
              <w:bottom w:val="single" w:sz="6" w:color="D9D9D9"/>
              <w:right w:val="single" w:sz="6" w:color="D9D9D9"/>
              <w:insideH w:val="single" w:sz="6" w:color="D9D9D9"/>
              <w:insideV w:val="single" w:sz="6" w:color="D9D9D9"/>
            </w:tcBorders>
            <w:tcMar>
              <w:top w:w="100" w:type="dxa"/>
              <w:start w:w="110" w:type="dxa"/>
              <w:bottom w:w="100" w:type="dxa"/>
              <w:end w:w="110" w:type="dxa"/>
            </w:tcMar>
          </w:tcPr>
          <w:p/>
        </w:tc>
        <w:tc>
          <w:tcPr>
            <w:tcW w:type="dxa" w:w="2376"/>
            <w:vAlign w:val="center"/>
            <w:tcBorders>
              <w:top w:val="single" w:sz="6" w:color="D9D9D9"/>
              <w:left w:val="single" w:sz="6" w:color="D9D9D9"/>
              <w:bottom w:val="single" w:sz="6" w:color="D9D9D9"/>
              <w:right w:val="single" w:sz="6" w:color="D9D9D9"/>
              <w:insideH w:val="single" w:sz="6" w:color="D9D9D9"/>
              <w:insideV w:val="single" w:sz="6" w:color="D9D9D9"/>
            </w:tcBorders>
            <w:tcMar>
              <w:top w:w="100" w:type="dxa"/>
              <w:start w:w="110" w:type="dxa"/>
              <w:bottom w:w="100" w:type="dxa"/>
              <w:end w:w="110" w:type="dxa"/>
            </w:tcMar>
          </w:tcPr>
          <w:p/>
        </w:tc>
        <w:tc>
          <w:tcPr>
            <w:tcW w:type="dxa" w:w="2376"/>
            <w:vAlign w:val="center"/>
            <w:tcBorders>
              <w:top w:val="single" w:sz="6" w:color="D9D9D9"/>
              <w:left w:val="single" w:sz="6" w:color="D9D9D9"/>
              <w:bottom w:val="single" w:sz="6" w:color="D9D9D9"/>
              <w:right w:val="single" w:sz="6" w:color="D9D9D9"/>
              <w:insideH w:val="single" w:sz="6" w:color="D9D9D9"/>
              <w:insideV w:val="single" w:sz="6" w:color="D9D9D9"/>
            </w:tcBorders>
            <w:tcMar>
              <w:top w:w="100" w:type="dxa"/>
              <w:start w:w="110" w:type="dxa"/>
              <w:bottom w:w="100" w:type="dxa"/>
              <w:end w:w="110" w:type="dxa"/>
            </w:tcMar>
          </w:tcPr>
          <w:p/>
        </w:tc>
      </w:tr>
      <w:tr>
        <w:tc>
          <w:tcPr>
            <w:tcW w:type="dxa" w:w="648"/>
            <w:vAlign w:val="center"/>
            <w:tcBorders>
              <w:top w:val="single" w:sz="6" w:color="D9D9D9"/>
              <w:left w:val="single" w:sz="6" w:color="D9D9D9"/>
              <w:bottom w:val="single" w:sz="6" w:color="D9D9D9"/>
              <w:right w:val="single" w:sz="6" w:color="D9D9D9"/>
              <w:insideH w:val="single" w:sz="6" w:color="D9D9D9"/>
              <w:insideV w:val="single" w:sz="6" w:color="D9D9D9"/>
            </w:tcBorders>
            <w:tcMar>
              <w:top w:w="100" w:type="dxa"/>
              <w:start w:w="110" w:type="dxa"/>
              <w:bottom w:w="100" w:type="dxa"/>
              <w:end w:w="110" w:type="dxa"/>
            </w:tcMar>
            <w:shd w:fill="F3F1ED"/>
          </w:tcPr>
          <w:p>
            <w:pPr>
              <w:jc w:val="center"/>
            </w:pPr>
            <w:r>
              <w:rPr>
                <w:rFonts w:ascii="Aptos" w:hAnsi="Aptos"/>
                <w:b w:val="0"/>
                <w:color w:val="000000"/>
                <w:sz w:val="19"/>
              </w:rPr>
              <w:t>2</w:t>
            </w:r>
          </w:p>
        </w:tc>
        <w:tc>
          <w:tcPr>
            <w:tcW w:type="dxa" w:w="4464"/>
            <w:vAlign w:val="center"/>
            <w:tcBorders>
              <w:top w:val="single" w:sz="6" w:color="D9D9D9"/>
              <w:left w:val="single" w:sz="6" w:color="D9D9D9"/>
              <w:bottom w:val="single" w:sz="6" w:color="D9D9D9"/>
              <w:right w:val="single" w:sz="6" w:color="D9D9D9"/>
              <w:insideH w:val="single" w:sz="6" w:color="D9D9D9"/>
              <w:insideV w:val="single" w:sz="6" w:color="D9D9D9"/>
            </w:tcBorders>
            <w:tcMar>
              <w:top w:w="100" w:type="dxa"/>
              <w:start w:w="110" w:type="dxa"/>
              <w:bottom w:w="100" w:type="dxa"/>
              <w:end w:w="110" w:type="dxa"/>
            </w:tcMar>
            <w:shd w:fill="F3F1ED"/>
          </w:tcPr>
          <w:p/>
        </w:tc>
        <w:tc>
          <w:tcPr>
            <w:tcW w:type="dxa" w:w="2376"/>
            <w:vAlign w:val="center"/>
            <w:tcBorders>
              <w:top w:val="single" w:sz="6" w:color="D9D9D9"/>
              <w:left w:val="single" w:sz="6" w:color="D9D9D9"/>
              <w:bottom w:val="single" w:sz="6" w:color="D9D9D9"/>
              <w:right w:val="single" w:sz="6" w:color="D9D9D9"/>
              <w:insideH w:val="single" w:sz="6" w:color="D9D9D9"/>
              <w:insideV w:val="single" w:sz="6" w:color="D9D9D9"/>
            </w:tcBorders>
            <w:tcMar>
              <w:top w:w="100" w:type="dxa"/>
              <w:start w:w="110" w:type="dxa"/>
              <w:bottom w:w="100" w:type="dxa"/>
              <w:end w:w="110" w:type="dxa"/>
            </w:tcMar>
            <w:shd w:fill="F3F1ED"/>
          </w:tcPr>
          <w:p/>
        </w:tc>
        <w:tc>
          <w:tcPr>
            <w:tcW w:type="dxa" w:w="2376"/>
            <w:vAlign w:val="center"/>
            <w:tcBorders>
              <w:top w:val="single" w:sz="6" w:color="D9D9D9"/>
              <w:left w:val="single" w:sz="6" w:color="D9D9D9"/>
              <w:bottom w:val="single" w:sz="6" w:color="D9D9D9"/>
              <w:right w:val="single" w:sz="6" w:color="D9D9D9"/>
              <w:insideH w:val="single" w:sz="6" w:color="D9D9D9"/>
              <w:insideV w:val="single" w:sz="6" w:color="D9D9D9"/>
            </w:tcBorders>
            <w:tcMar>
              <w:top w:w="100" w:type="dxa"/>
              <w:start w:w="110" w:type="dxa"/>
              <w:bottom w:w="100" w:type="dxa"/>
              <w:end w:w="110" w:type="dxa"/>
            </w:tcMar>
            <w:shd w:fill="F3F1ED"/>
          </w:tcPr>
          <w:p/>
        </w:tc>
      </w:tr>
      <w:tr>
        <w:tc>
          <w:tcPr>
            <w:tcW w:type="dxa" w:w="648"/>
            <w:vAlign w:val="center"/>
            <w:tcBorders>
              <w:top w:val="single" w:sz="6" w:color="D9D9D9"/>
              <w:left w:val="single" w:sz="6" w:color="D9D9D9"/>
              <w:bottom w:val="single" w:sz="6" w:color="D9D9D9"/>
              <w:right w:val="single" w:sz="6" w:color="D9D9D9"/>
              <w:insideH w:val="single" w:sz="6" w:color="D9D9D9"/>
              <w:insideV w:val="single" w:sz="6" w:color="D9D9D9"/>
            </w:tcBorders>
            <w:tcMar>
              <w:top w:w="100" w:type="dxa"/>
              <w:start w:w="110" w:type="dxa"/>
              <w:bottom w:w="100" w:type="dxa"/>
              <w:end w:w="110" w:type="dxa"/>
            </w:tcMar>
          </w:tcPr>
          <w:p>
            <w:pPr>
              <w:jc w:val="center"/>
            </w:pPr>
            <w:r>
              <w:rPr>
                <w:rFonts w:ascii="Aptos" w:hAnsi="Aptos"/>
                <w:b w:val="0"/>
                <w:color w:val="000000"/>
                <w:sz w:val="19"/>
              </w:rPr>
              <w:t>3</w:t>
            </w:r>
          </w:p>
        </w:tc>
        <w:tc>
          <w:tcPr>
            <w:tcW w:type="dxa" w:w="4464"/>
            <w:vAlign w:val="center"/>
            <w:tcBorders>
              <w:top w:val="single" w:sz="6" w:color="D9D9D9"/>
              <w:left w:val="single" w:sz="6" w:color="D9D9D9"/>
              <w:bottom w:val="single" w:sz="6" w:color="D9D9D9"/>
              <w:right w:val="single" w:sz="6" w:color="D9D9D9"/>
              <w:insideH w:val="single" w:sz="6" w:color="D9D9D9"/>
              <w:insideV w:val="single" w:sz="6" w:color="D9D9D9"/>
            </w:tcBorders>
            <w:tcMar>
              <w:top w:w="100" w:type="dxa"/>
              <w:start w:w="110" w:type="dxa"/>
              <w:bottom w:w="100" w:type="dxa"/>
              <w:end w:w="110" w:type="dxa"/>
            </w:tcMar>
          </w:tcPr>
          <w:p/>
        </w:tc>
        <w:tc>
          <w:tcPr>
            <w:tcW w:type="dxa" w:w="2376"/>
            <w:vAlign w:val="center"/>
            <w:tcBorders>
              <w:top w:val="single" w:sz="6" w:color="D9D9D9"/>
              <w:left w:val="single" w:sz="6" w:color="D9D9D9"/>
              <w:bottom w:val="single" w:sz="6" w:color="D9D9D9"/>
              <w:right w:val="single" w:sz="6" w:color="D9D9D9"/>
              <w:insideH w:val="single" w:sz="6" w:color="D9D9D9"/>
              <w:insideV w:val="single" w:sz="6" w:color="D9D9D9"/>
            </w:tcBorders>
            <w:tcMar>
              <w:top w:w="100" w:type="dxa"/>
              <w:start w:w="110" w:type="dxa"/>
              <w:bottom w:w="100" w:type="dxa"/>
              <w:end w:w="110" w:type="dxa"/>
            </w:tcMar>
          </w:tcPr>
          <w:p/>
        </w:tc>
        <w:tc>
          <w:tcPr>
            <w:tcW w:type="dxa" w:w="2376"/>
            <w:vAlign w:val="center"/>
            <w:tcBorders>
              <w:top w:val="single" w:sz="6" w:color="D9D9D9"/>
              <w:left w:val="single" w:sz="6" w:color="D9D9D9"/>
              <w:bottom w:val="single" w:sz="6" w:color="D9D9D9"/>
              <w:right w:val="single" w:sz="6" w:color="D9D9D9"/>
              <w:insideH w:val="single" w:sz="6" w:color="D9D9D9"/>
              <w:insideV w:val="single" w:sz="6" w:color="D9D9D9"/>
            </w:tcBorders>
            <w:tcMar>
              <w:top w:w="100" w:type="dxa"/>
              <w:start w:w="110" w:type="dxa"/>
              <w:bottom w:w="100" w:type="dxa"/>
              <w:end w:w="110" w:type="dxa"/>
            </w:tcMar>
          </w:tcPr>
          <w:p/>
        </w:tc>
      </w:tr>
    </w:tbl>
    <w:p>
      <w:pPr>
        <w:pStyle w:val="Heading2"/>
      </w:pPr>
      <w:r>
        <w:t>Sources and local requirements</w:t>
      </w:r>
    </w:p>
    <w:p>
      <w:pPr>
        <w:pStyle w:val="ListBullet"/>
      </w:pPr>
      <w:r>
        <w:rPr>
          <w:rFonts w:ascii="Aptos" w:hAnsi="Aptos"/>
          <w:b w:val="0"/>
          <w:color w:val="000000"/>
          <w:sz w:val="18"/>
        </w:rPr>
        <w:t>FDA Tattoos and Permanent Makeup Fact Sheet: https://www.fda.gov/cosmetics/cosmetic-products/tattoos-permanent-makeup-fact-sheet</w:t>
      </w:r>
    </w:p>
    <w:p>
      <w:pPr>
        <w:pStyle w:val="ListBullet"/>
      </w:pPr>
      <w:r>
        <w:rPr>
          <w:rFonts w:ascii="Aptos" w:hAnsi="Aptos"/>
          <w:b w:val="0"/>
          <w:color w:val="000000"/>
          <w:sz w:val="18"/>
        </w:rPr>
        <w:t>European Chemicals Agency Tattoo Inks and Permanent Makeup: https://echa.europa.eu/hot-topics/tattoo-inks</w:t>
      </w:r>
    </w:p>
    <w:p>
      <w:pPr>
        <w:pStyle w:val="ListBullet"/>
      </w:pPr>
      <w:r>
        <w:rPr>
          <w:rFonts w:ascii="Aptos" w:hAnsi="Aptos"/>
          <w:b w:val="0"/>
          <w:color w:val="000000"/>
          <w:sz w:val="18"/>
        </w:rPr>
        <w:t>NCBI Skin Anatomy and the Epidermis: https://www.ncbi.nlm.nih.gov/books/NBK470464/</w:t>
      </w:r>
    </w:p>
    <w:p>
      <w:r>
        <w:t>Confirm the current law, professional guidance, product instructions and referral contacts that apply where you work.</w:t>
      </w:r>
    </w:p>
    <w:p>
      <w:pPr>
        <w:pStyle w:val="Heading2"/>
      </w:pPr>
      <w:r>
        <w:t>Final declaration</w:t>
      </w:r>
    </w:p>
    <w:p>
      <w:r>
        <w:t>I completed the four activities and understand the course boundary. I will apply this knowledge only within my existing training, competence and local requirements.</w:t>
      </w:r>
    </w:p>
    <w:p>
      <w:pPr>
        <w:spacing w:before="80" w:after="40"/>
      </w:pPr>
      <w:r>
        <w:rPr>
          <w:rFonts w:ascii="Aptos" w:hAnsi="Aptos"/>
          <w:b/>
          <w:color w:val="000000"/>
          <w:sz w:val="21"/>
        </w:rPr>
        <w:t>Learner signature</w:t>
      </w:r>
    </w:p>
    <w:p>
      <w:pPr>
        <w:spacing w:before="0" w:after="20"/>
      </w:pPr>
      <w:r>
        <w:rPr>
          <w:rFonts w:ascii="Aptos" w:hAnsi="Aptos"/>
          <w:b w:val="0"/>
          <w:color w:val="777777"/>
          <w:sz w:val="18"/>
        </w:rPr>
        <w:t>_______________________________________________________________________________________________</w:t>
      </w:r>
    </w:p>
    <w:p>
      <w:pPr>
        <w:spacing w:before="80" w:after="40"/>
      </w:pPr>
      <w:r>
        <w:rPr>
          <w:rFonts w:ascii="Aptos" w:hAnsi="Aptos"/>
          <w:b/>
          <w:color w:val="000000"/>
          <w:sz w:val="21"/>
        </w:rPr>
        <w:t>Completion date</w:t>
      </w:r>
    </w:p>
    <w:p>
      <w:pPr>
        <w:spacing w:before="0" w:after="20"/>
      </w:pPr>
      <w:r>
        <w:rPr>
          <w:rFonts w:ascii="Aptos" w:hAnsi="Aptos"/>
          <w:b w:val="0"/>
          <w:color w:val="777777"/>
          <w:sz w:val="18"/>
        </w:rPr>
        <w:t>_______________________________________________________________________________________________</w:t>
      </w:r>
    </w:p>
    <w:sectPr w:rsidR="00FC693F" w:rsidRPr="0006063C" w:rsidSect="00034616">
      <w:pgSz w:w="12240" w:h="15840"/>
      <w:pgMar w:top="1008"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60"/>
      <w:jc w:val="center"/>
    </w:pPr>
    <w:r>
      <w:rPr>
        <w:rFonts w:ascii="Aptos" w:hAnsi="Aptos"/>
        <w:b w:val="0"/>
        <w:color w:val="666666"/>
        <w:sz w:val="17"/>
      </w:rPr>
      <w:t>BAQA  |  Body Art Color Theory  |  Practical workbook</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9" w:lineRule="auto"/>
    </w:pPr>
    <w:rPr>
      <w:rFonts w:ascii="Aptos" w:hAnsi="Aptos"/>
      <w:color w:val="00000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20"/>
      <w:outlineLvl w:val="0"/>
    </w:pPr>
    <w:rPr>
      <w:rFonts w:asciiTheme="majorHAnsi" w:eastAsiaTheme="majorEastAsia" w:hAnsiTheme="majorHAnsi" w:cstheme="majorBidi" w:ascii="Aptos Display" w:hAnsi="Aptos Display"/>
      <w:b/>
      <w:bCs/>
      <w:color w:val="000000"/>
      <w:sz w:val="40"/>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ptos Display" w:hAnsi="Aptos Display"/>
      <w:b/>
      <w:bCs/>
      <w:color w:val="000000"/>
      <w:sz w:val="28"/>
      <w:szCs w:val="26"/>
    </w:rPr>
  </w:style>
  <w:style w:type="paragraph" w:styleId="Heading3">
    <w:name w:val="heading 3"/>
    <w:basedOn w:val="Normal"/>
    <w:next w:val="Normal"/>
    <w:link w:val="Heading3Char"/>
    <w:uiPriority w:val="9"/>
    <w:unhideWhenUsed/>
    <w:qFormat/>
    <w:rsid w:val="00FC693F"/>
    <w:pPr>
      <w:keepNext/>
      <w:keepLines/>
      <w:spacing w:before="120" w:after="60"/>
      <w:outlineLvl w:val="2"/>
    </w:pPr>
    <w:rPr>
      <w:rFonts w:asciiTheme="majorHAnsi" w:eastAsiaTheme="majorEastAsia" w:hAnsiTheme="majorHAnsi" w:cstheme="majorBidi" w:ascii="Aptos Display" w:hAnsi="Aptos Display"/>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60" w:line="240" w:lineRule="auto" w:before="0"/>
      <w:contextualSpacing/>
    </w:pPr>
    <w:rPr>
      <w:rFonts w:asciiTheme="majorHAnsi" w:eastAsiaTheme="majorEastAsia" w:hAnsiTheme="majorHAnsi" w:cstheme="majorBidi" w:ascii="Aptos Display" w:hAnsi="Aptos Display"/>
      <w:color w:val="000000"/>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before="0" w:after="200"/>
    </w:pPr>
    <w:rPr>
      <w:rFonts w:asciiTheme="majorHAnsi" w:eastAsiaTheme="majorEastAsia" w:hAnsiTheme="majorHAnsi" w:cstheme="majorBidi" w:ascii="Aptos" w:hAnsi="Aptos"/>
      <w:i/>
      <w:iCs/>
      <w:color w:val="302C28"/>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Body Art Color Theory Practical Workbook</dc:title>
  <dc:subject>BAQA Skill Development Short Course workbook</dc:subject>
  <dc:creator>BodyArt Qualification Authority</dc:creator>
  <cp:keywords>BAQA, body art, short course, professional development</cp:keywords>
  <dc:description>generated by python-docx</dc:description>
  <cp:lastModifiedBy/>
  <cp:revision>1</cp:revision>
  <dcterms:created xsi:type="dcterms:W3CDTF">2013-12-23T23:15:00Z</dcterms:created>
  <dcterms:modified xsi:type="dcterms:W3CDTF">2013-12-23T23:15:00Z</dcterms:modified>
  <cp:category/>
</cp:coreProperties>
</file>