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160"/>
        <w:jc w:val="center"/>
      </w:pPr>
      <w:r>
        <w:t>BAQA Studio Health Inspection</w:t>
        <w:br/>
        <w:t>and Design Readiness Workbook</w:t>
      </w:r>
    </w:p>
    <w:p>
      <w:pPr>
        <w:jc w:val="center"/>
      </w:pPr>
      <w:r>
        <w:rPr>
          <w:b/>
          <w:color w:val="9A6A20"/>
          <w:sz w:val="26"/>
        </w:rPr>
        <w:t>Plan the premises and prepare evidence for inspection</w:t>
      </w:r>
    </w:p>
    <w:p>
      <w:pPr>
        <w:spacing w:after="100"/>
        <w:jc w:val="center"/>
      </w:pPr>
      <w:r>
        <w:drawing>
          <wp:inline xmlns:a="http://schemas.openxmlformats.org/drawingml/2006/main" xmlns:pic="http://schemas.openxmlformats.org/drawingml/2006/picture">
            <wp:extent cx="5852160" cy="3293590"/>
            <wp:docPr id="1" name="Picture 1" title="Studio inspection planning" descr="Environmental health inspector and body art studio manager reviewing a bright professional studio"/>
            <wp:cNvGraphicFramePr>
              <a:graphicFrameLocks noChangeAspect="1"/>
            </wp:cNvGraphicFramePr>
            <a:graphic>
              <a:graphicData uri="http://schemas.openxmlformats.org/drawingml/2006/picture">
                <pic:pic>
                  <pic:nvPicPr>
                    <pic:cNvPr id="0" name="studio-inspection-hero.png"/>
                    <pic:cNvPicPr/>
                  </pic:nvPicPr>
                  <pic:blipFill>
                    <a:blip r:embed="rId10"/>
                    <a:stretch>
                      <a:fillRect/>
                    </a:stretch>
                  </pic:blipFill>
                  <pic:spPr>
                    <a:xfrm>
                      <a:off x="0" y="0"/>
                      <a:ext cx="5852160" cy="3293590"/>
                    </a:xfrm>
                    <a:prstGeom prst="rect"/>
                  </pic:spPr>
                </pic:pic>
              </a:graphicData>
            </a:graphic>
          </wp:inline>
        </w:drawing>
      </w:r>
    </w:p>
    <w:p>
      <w:pPr>
        <w:jc w:val="center"/>
      </w:pPr>
      <w:r>
        <w:rPr>
          <w:sz w:val="18"/>
        </w:rPr>
        <w:t>Course BSI  |  Version 1.0  |  September 2026</w:t>
      </w:r>
    </w:p>
    <w:p>
      <w:r>
        <w:rPr>
          <w:b/>
        </w:rPr>
        <w:t xml:space="preserve">Important  </w:t>
      </w:r>
      <w:r>
        <w:t>This course teaches practical preparation using common inspection themes and published examples. It does not guarantee that a studio will pass an inspection, approve building work, replace professional architectural, plumbing, electrical, fire, accessibility, sterilisation or legal advice, or override the current rules where the studio operates. Always obtain the required approvals before signing a lease, building, changing use or opening, and confirm every measurement, test, record and licence with the responsible local authority.</w:t>
      </w:r>
    </w:p>
    <w:p>
      <w:pPr>
        <w:sectPr>
          <w:footerReference w:type="default" r:id="rId9"/>
          <w:pgSz w:w="12240" w:h="15840"/>
          <w:pgMar w:top="835" w:right="893" w:bottom="835" w:left="893" w:header="720" w:footer="720" w:gutter="0"/>
          <w:cols w:space="720"/>
          <w:docGrid w:linePitch="360"/>
        </w:sectPr>
      </w:pPr>
    </w:p>
    <w:p>
      <w:pPr>
        <w:pStyle w:val="Heading1"/>
        <w:keepNext/>
        <w:spacing w:before="160" w:after="80"/>
      </w:pPr>
      <w:r>
        <w:t>How to Use This Workbook</w:t>
      </w:r>
    </w:p>
    <w:p>
      <w:r>
        <w:t>Complete each worksheet with the matching online lesson. Use your real studio address, intended services and current local authority documents. This workbook helps you ask the right questions and organise proof; it is not an approval certificate.</w:t>
      </w:r>
    </w:p>
    <w:p>
      <w:pPr>
        <w:pStyle w:val="ListBullet"/>
      </w:pPr>
      <w:r>
        <w:t>Confirm technical measurements with the responsible authority or a qualified professional before construction.</w:t>
      </w:r>
    </w:p>
    <w:p>
      <w:pPr>
        <w:pStyle w:val="ListBullet"/>
      </w:pPr>
      <w:r>
        <w:t>Write Not Applicable only when you can explain and document why the item does not apply.</w:t>
      </w:r>
    </w:p>
    <w:p>
      <w:pPr>
        <w:pStyle w:val="ListBullet"/>
      </w:pPr>
      <w:r>
        <w:t>Keep confidential client and worker information in the studio's protected records, not in a shared learning copy.</w:t>
      </w:r>
    </w:p>
    <w:p>
      <w:pPr>
        <w:pStyle w:val="ListBullet"/>
      </w:pPr>
      <w:r>
        <w:t>Review the workbook after a change in premises, services, equipment, law or inspection finding.</w:t>
      </w:r>
    </w:p>
    <w:p>
      <w:pPr>
        <w:pStyle w:val="Heading2"/>
        <w:keepNext/>
        <w:spacing w:before="160" w:after="80"/>
      </w:pPr>
      <w:r>
        <w:t>Learner and Studio Details</w:t>
      </w:r>
    </w:p>
    <w:tbl>
      <w:tblPr>
        <w:tblW w:type="auto" w:w="0"/>
        <w:tblLayout w:type="fixed"/>
        <w:tblLook w:firstColumn="1" w:firstRow="1" w:lastColumn="0" w:lastRow="0" w:noHBand="0" w:noVBand="1" w:val="04A0"/>
      </w:tblPr>
      <w:tblGrid>
        <w:gridCol w:w="5227"/>
        <w:gridCol w:w="5227"/>
      </w:tblGrid>
      <w:tr>
        <w:trPr>
          <w:tblHeader w:val="true"/>
        </w:trPr>
        <w:tc>
          <w:tcPr>
            <w:tcW w:type="dxa" w:w="345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Detail</w:t>
            </w:r>
          </w:p>
        </w:tc>
        <w:tc>
          <w:tcPr>
            <w:tcW w:type="dxa" w:w="6768"/>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Response</w:t>
            </w:r>
          </w:p>
        </w:tc>
      </w:tr>
      <w:tr>
        <w:tc>
          <w:tcPr>
            <w:tcW w:type="dxa" w:w="345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pPr>
              <w:spacing w:after="0"/>
              <w:jc w:val="left"/>
            </w:pPr>
            <w:r/>
            <w:r>
              <w:rPr>
                <w:rFonts w:ascii="Aptos" w:hAnsi="Aptos"/>
                <w:b/>
                <w:color w:val="000000"/>
                <w:sz w:val="16"/>
              </w:rPr>
              <w:t>Learner name</w:t>
            </w:r>
          </w:p>
        </w:tc>
        <w:tc>
          <w:tcPr>
            <w:tcW w:type="dxa" w:w="676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45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pPr>
              <w:spacing w:after="0"/>
              <w:jc w:val="left"/>
            </w:pPr>
            <w:r/>
            <w:r>
              <w:rPr>
                <w:rFonts w:ascii="Aptos" w:hAnsi="Aptos"/>
                <w:b/>
                <w:color w:val="000000"/>
                <w:sz w:val="16"/>
              </w:rPr>
              <w:t>Role</w:t>
            </w:r>
          </w:p>
        </w:tc>
        <w:tc>
          <w:tcPr>
            <w:tcW w:type="dxa" w:w="676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45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pPr>
              <w:spacing w:after="0"/>
              <w:jc w:val="left"/>
            </w:pPr>
            <w:r/>
            <w:r>
              <w:rPr>
                <w:rFonts w:ascii="Aptos" w:hAnsi="Aptos"/>
                <w:b/>
                <w:color w:val="000000"/>
                <w:sz w:val="16"/>
              </w:rPr>
              <w:t>Studio</w:t>
            </w:r>
          </w:p>
        </w:tc>
        <w:tc>
          <w:tcPr>
            <w:tcW w:type="dxa" w:w="676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45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pPr>
              <w:spacing w:after="0"/>
              <w:jc w:val="left"/>
            </w:pPr>
            <w:r/>
            <w:r>
              <w:rPr>
                <w:rFonts w:ascii="Aptos" w:hAnsi="Aptos"/>
                <w:b/>
                <w:color w:val="000000"/>
                <w:sz w:val="16"/>
              </w:rPr>
              <w:t>Address</w:t>
            </w:r>
          </w:p>
        </w:tc>
        <w:tc>
          <w:tcPr>
            <w:tcW w:type="dxa" w:w="676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45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pPr>
              <w:spacing w:after="0"/>
              <w:jc w:val="left"/>
            </w:pPr>
            <w:r/>
            <w:r>
              <w:rPr>
                <w:rFonts w:ascii="Aptos" w:hAnsi="Aptos"/>
                <w:b/>
                <w:color w:val="000000"/>
                <w:sz w:val="16"/>
              </w:rPr>
              <w:t>Body art services</w:t>
            </w:r>
          </w:p>
        </w:tc>
        <w:tc>
          <w:tcPr>
            <w:tcW w:type="dxa" w:w="676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45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pPr>
              <w:spacing w:after="0"/>
              <w:jc w:val="left"/>
            </w:pPr>
            <w:r/>
            <w:r>
              <w:rPr>
                <w:rFonts w:ascii="Aptos" w:hAnsi="Aptos"/>
                <w:b/>
                <w:color w:val="000000"/>
                <w:sz w:val="16"/>
              </w:rPr>
              <w:t>Country region and local authority</w:t>
            </w:r>
          </w:p>
        </w:tc>
        <w:tc>
          <w:tcPr>
            <w:tcW w:type="dxa" w:w="676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bl>
    <w:p>
      <w:pPr>
        <w:pStyle w:val="Heading2"/>
        <w:keepNext/>
        <w:spacing w:before="160" w:after="80"/>
      </w:pPr>
      <w:r>
        <w:t>Inspection and Approval Contacts</w:t>
      </w:r>
    </w:p>
    <w:tbl>
      <w:tblPr>
        <w:tblW w:type="auto" w:w="0"/>
        <w:tblLayout w:type="fixed"/>
        <w:tblLook w:firstColumn="1" w:firstRow="1" w:lastColumn="0" w:lastRow="0" w:noHBand="0" w:noVBand="1" w:val="04A0"/>
      </w:tblPr>
      <w:tblGrid>
        <w:gridCol w:w="3485"/>
        <w:gridCol w:w="3485"/>
        <w:gridCol w:w="3485"/>
      </w:tblGrid>
      <w:tr>
        <w:trPr>
          <w:tblHeader w:val="true"/>
        </w:trPr>
        <w:tc>
          <w:tcPr>
            <w:tcW w:type="dxa" w:w="288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Purpose</w:t>
            </w:r>
          </w:p>
        </w:tc>
        <w:tc>
          <w:tcPr>
            <w:tcW w:type="dxa" w:w="3384"/>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Authority or person</w:t>
            </w:r>
          </w:p>
        </w:tc>
        <w:tc>
          <w:tcPr>
            <w:tcW w:type="dxa" w:w="396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Contact and reference</w:t>
            </w:r>
          </w:p>
        </w:tc>
      </w:tr>
      <w:tr>
        <w:tc>
          <w:tcPr>
            <w:tcW w:type="dxa" w:w="288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pPr>
              <w:spacing w:after="0"/>
              <w:jc w:val="left"/>
            </w:pPr>
            <w:r/>
            <w:r>
              <w:rPr>
                <w:rFonts w:ascii="Aptos" w:hAnsi="Aptos"/>
                <w:b w:val="0"/>
                <w:color w:val="292724"/>
                <w:sz w:val="16"/>
              </w:rPr>
              <w:t>Public health or licensing</w:t>
            </w: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pPr>
              <w:spacing w:after="0"/>
              <w:jc w:val="left"/>
            </w:pPr>
            <w:r/>
            <w:r>
              <w:rPr>
                <w:rFonts w:ascii="Aptos" w:hAnsi="Aptos"/>
                <w:b w:val="0"/>
                <w:color w:val="292724"/>
                <w:sz w:val="16"/>
              </w:rPr>
              <w:t>Planning and building</w:t>
            </w: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pPr>
              <w:spacing w:after="0"/>
              <w:jc w:val="left"/>
            </w:pPr>
            <w:r/>
            <w:r>
              <w:rPr>
                <w:rFonts w:ascii="Aptos" w:hAnsi="Aptos"/>
                <w:b w:val="0"/>
                <w:color w:val="292724"/>
                <w:sz w:val="16"/>
              </w:rPr>
              <w:t>Fire safety</w:t>
            </w: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pPr>
              <w:spacing w:after="0"/>
              <w:jc w:val="left"/>
            </w:pPr>
            <w:r/>
            <w:r>
              <w:rPr>
                <w:rFonts w:ascii="Aptos" w:hAnsi="Aptos"/>
                <w:b w:val="0"/>
                <w:color w:val="292724"/>
                <w:sz w:val="16"/>
              </w:rPr>
              <w:t>Workplace safety</w:t>
            </w: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pPr>
              <w:spacing w:after="0"/>
              <w:jc w:val="left"/>
            </w:pPr>
            <w:r/>
            <w:r>
              <w:rPr>
                <w:rFonts w:ascii="Aptos" w:hAnsi="Aptos"/>
                <w:b w:val="0"/>
                <w:color w:val="292724"/>
                <w:sz w:val="16"/>
              </w:rPr>
              <w:t>Waste collection</w:t>
            </w: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bl>
    <w:p>
      <w:pPr>
        <w:sectPr>
          <w:pgSz w:w="12240" w:h="15840"/>
          <w:pgMar w:top="835" w:right="893" w:bottom="835" w:left="893" w:header="720" w:footer="720" w:gutter="0"/>
          <w:cols w:space="720"/>
          <w:docGrid w:linePitch="360"/>
        </w:sectPr>
      </w:pPr>
    </w:p>
    <w:p>
      <w:pPr>
        <w:pStyle w:val="Heading1"/>
        <w:keepNext/>
        <w:spacing w:before="160" w:after="80"/>
      </w:pPr>
      <w:r>
        <w:t>Worksheet 1 Local Requirements Register</w:t>
      </w:r>
    </w:p>
    <w:p>
      <w:r>
        <w:t>Record the official source, what it controls and when it must be checked again.</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237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Requirement area</w:t>
            </w:r>
          </w:p>
        </w:tc>
        <w:tc>
          <w:tcPr>
            <w:tcW w:type="dxa" w:w="2664"/>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Official source or contact</w:t>
            </w:r>
          </w:p>
        </w:tc>
        <w:tc>
          <w:tcPr>
            <w:tcW w:type="dxa" w:w="3384"/>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What applies to this studio</w:t>
            </w:r>
          </w:p>
        </w:tc>
        <w:tc>
          <w:tcPr>
            <w:tcW w:type="dxa" w:w="180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Approval or review date</w:t>
            </w: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Planning or zoning</w:t>
            </w:r>
          </w:p>
        </w:tc>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0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Building or change of use</w:t>
            </w:r>
          </w:p>
        </w:tc>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0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Public health licence</w:t>
            </w:r>
          </w:p>
        </w:tc>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0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Operator registration</w:t>
            </w:r>
          </w:p>
        </w:tc>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0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Fire and occupancy</w:t>
            </w:r>
          </w:p>
        </w:tc>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0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Accessibility</w:t>
            </w:r>
          </w:p>
        </w:tc>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0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Workplace safety</w:t>
            </w:r>
          </w:p>
        </w:tc>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0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Waste and sharps</w:t>
            </w:r>
          </w:p>
        </w:tc>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0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Signage or business licence</w:t>
            </w:r>
          </w:p>
        </w:tc>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0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bl>
    <w:p>
      <w:pPr>
        <w:pStyle w:val="Heading2"/>
        <w:keepNext/>
        <w:spacing w:before="160" w:after="80"/>
      </w:pPr>
      <w:r>
        <w:t>Questions to Resolve Before Signing</w:t>
      </w:r>
    </w:p>
    <w:p>
      <w:pPr>
        <w:spacing w:after="160"/>
        <w:pBdr>
          <w:bottom w:val="single" w:sz="4" w:space="1" w:color="9B958E"/>
        </w:pBdr>
      </w:pPr>
    </w:p>
    <w:p>
      <w:pPr>
        <w:spacing w:after="160"/>
        <w:pBdr>
          <w:bottom w:val="single" w:sz="4" w:space="1" w:color="9B958E"/>
        </w:pBdr>
      </w:pPr>
    </w:p>
    <w:p>
      <w:pPr>
        <w:spacing w:after="160"/>
        <w:pBdr>
          <w:bottom w:val="single" w:sz="4" w:space="1" w:color="9B958E"/>
        </w:pBdr>
      </w:pPr>
    </w:p>
    <w:p>
      <w:pPr>
        <w:sectPr>
          <w:pgSz w:w="12240" w:h="15840"/>
          <w:pgMar w:top="835" w:right="893" w:bottom="835" w:left="893" w:header="720" w:footer="720" w:gutter="0"/>
          <w:cols w:space="720"/>
          <w:docGrid w:linePitch="360"/>
        </w:sectPr>
      </w:pPr>
    </w:p>
    <w:p>
      <w:pPr>
        <w:pStyle w:val="Heading1"/>
        <w:keepNext/>
        <w:spacing w:before="160" w:after="80"/>
      </w:pPr>
      <w:r>
        <w:t>Worksheet 2 Studio Layout and Workflow</w:t>
      </w:r>
    </w:p>
    <w:p>
      <w:r>
        <w:t>Map each route on your floor plan and record where dirty work could cross clean work or public movement.</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252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Route or zone</w:t>
            </w:r>
          </w:p>
        </w:tc>
        <w:tc>
          <w:tcPr>
            <w:tcW w:type="dxa" w:w="259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Start and finish</w:t>
            </w:r>
          </w:p>
        </w:tc>
        <w:tc>
          <w:tcPr>
            <w:tcW w:type="dxa" w:w="309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Crossing or obstruction</w:t>
            </w:r>
          </w:p>
        </w:tc>
        <w:tc>
          <w:tcPr>
            <w:tcW w:type="dxa" w:w="201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Change needed</w:t>
            </w:r>
          </w:p>
        </w:tc>
      </w:tr>
      <w:tr>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Client arrival and exit</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Clean supplies</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Used instruments</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Sharps and clinical waste</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General waste</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Clean and used linen</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Staff belongings and food</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Emergency and accessible route</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Reprocessing dirty to clean</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bl>
    <w:p>
      <w:pPr>
        <w:pStyle w:val="Heading2"/>
        <w:keepNext/>
        <w:spacing w:before="160" w:after="80"/>
      </w:pPr>
      <w:r>
        <w:t>Sketch or Attach the Proposed Floor Plan</w:t>
      </w:r>
    </w:p>
    <w:p>
      <w:pPr>
        <w:spacing w:after="160"/>
        <w:pBdr>
          <w:bottom w:val="single" w:sz="4" w:space="1" w:color="9B958E"/>
        </w:pBdr>
      </w:pPr>
    </w:p>
    <w:p>
      <w:pPr>
        <w:spacing w:after="160"/>
        <w:pBdr>
          <w:bottom w:val="single" w:sz="4" w:space="1" w:color="9B958E"/>
        </w:pBdr>
      </w:pPr>
    </w:p>
    <w:p>
      <w:pPr>
        <w:spacing w:after="160"/>
        <w:pBdr>
          <w:bottom w:val="single" w:sz="4" w:space="1" w:color="9B958E"/>
        </w:pBdr>
      </w:pPr>
    </w:p>
    <w:p>
      <w:pPr>
        <w:spacing w:after="160"/>
        <w:pBdr>
          <w:bottom w:val="single" w:sz="4" w:space="1" w:color="9B958E"/>
        </w:pBdr>
      </w:pPr>
    </w:p>
    <w:p>
      <w:pPr>
        <w:sectPr>
          <w:pgSz w:w="12240" w:h="15840"/>
          <w:pgMar w:top="835" w:right="893" w:bottom="835" w:left="893" w:header="720" w:footer="720" w:gutter="0"/>
          <w:cols w:space="720"/>
          <w:docGrid w:linePitch="360"/>
        </w:sectPr>
      </w:pPr>
    </w:p>
    <w:p>
      <w:pPr>
        <w:pStyle w:val="Heading1"/>
        <w:keepNext/>
        <w:spacing w:before="160" w:after="80"/>
      </w:pPr>
      <w:r>
        <w:t>Worksheet 3 Surface Fitting and Furniture Schedule</w:t>
      </w:r>
    </w:p>
    <w:p>
      <w:r>
        <w:t>Check that every finish can tolerate the intended cleaning product and remains in good repair.</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273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Room and item</w:t>
            </w:r>
          </w:p>
        </w:tc>
        <w:tc>
          <w:tcPr>
            <w:tcW w:type="dxa" w:w="252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Material or finish</w:t>
            </w:r>
          </w:p>
        </w:tc>
        <w:tc>
          <w:tcPr>
            <w:tcW w:type="dxa" w:w="295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Cleaning method</w:t>
            </w:r>
          </w:p>
        </w:tc>
        <w:tc>
          <w:tcPr>
            <w:tcW w:type="dxa" w:w="201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Status and action</w:t>
            </w:r>
          </w:p>
        </w:tc>
      </w:tr>
      <w:tr>
        <w:tc>
          <w:tcPr>
            <w:tcW w:type="dxa" w:w="273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Treatment floor</w:t>
            </w: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73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Treatment walls</w:t>
            </w: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73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Ceiling and lights</w:t>
            </w: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73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Worktop and splashback</w:t>
            </w: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73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Treatment chair or bed</w:t>
            </w: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73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Trolley and stool</w:t>
            </w: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73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Doors and handles</w:t>
            </w: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73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Reception furniture</w:t>
            </w: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73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Toilet surfaces</w:t>
            </w: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73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Utility or reprocessing area</w:t>
            </w: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bl>
    <w:p>
      <w:pPr>
        <w:sectPr>
          <w:pgSz w:w="12240" w:h="15840"/>
          <w:pgMar w:top="835" w:right="893" w:bottom="835" w:left="893" w:header="720" w:footer="720" w:gutter="0"/>
          <w:cols w:space="720"/>
          <w:docGrid w:linePitch="360"/>
        </w:sectPr>
      </w:pPr>
    </w:p>
    <w:p>
      <w:pPr>
        <w:pStyle w:val="Heading1"/>
        <w:keepNext/>
        <w:spacing w:before="160" w:after="80"/>
      </w:pPr>
      <w:r>
        <w:t>Worksheet 4 Water Basins Toilets and Handwashing</w:t>
      </w:r>
    </w:p>
    <w:p>
      <w:r>
        <w:t>Check each facility while the studio is set up for normal work.</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259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Facility</w:t>
            </w:r>
          </w:p>
        </w:tc>
        <w:tc>
          <w:tcPr>
            <w:tcW w:type="dxa" w:w="324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Water drainage and supplies</w:t>
            </w:r>
          </w:p>
        </w:tc>
        <w:tc>
          <w:tcPr>
            <w:tcW w:type="dxa" w:w="223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Splash or access risk</w:t>
            </w:r>
          </w:p>
        </w:tc>
        <w:tc>
          <w:tcPr>
            <w:tcW w:type="dxa" w:w="216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Correction and evidence</w:t>
            </w: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Artist hand basin</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1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Additional treatment basin</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1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Instrument-cleaning sink</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1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Cleaner or mop sink</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1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Client toilet basin</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1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Accessible toilet</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1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Hot or tempered water</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1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Water interruption plan</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1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bl>
    <w:p>
      <w:pPr>
        <w:pStyle w:val="Heading2"/>
        <w:keepNext/>
        <w:spacing w:before="160" w:after="80"/>
      </w:pPr>
      <w:r>
        <w:t>Handwashing Point Observation</w:t>
      </w:r>
    </w:p>
    <w:p>
      <w:pPr>
        <w:spacing w:before="40" w:after="120"/>
      </w:pPr>
      <w:r>
        <w:rPr>
          <w:b/>
        </w:rPr>
        <w:t xml:space="preserve">How to complete this section  </w:t>
      </w:r>
      <w:r>
        <w:t>Record whether running water, liquid soap, hygienic hand drying, waste, clear access and splash control were available at the time of the check.</w:t>
      </w:r>
    </w:p>
    <w:p>
      <w:pPr>
        <w:spacing w:after="160"/>
        <w:pBdr>
          <w:bottom w:val="single" w:sz="4" w:space="1" w:color="9B958E"/>
        </w:pBdr>
      </w:pPr>
    </w:p>
    <w:p>
      <w:pPr>
        <w:spacing w:after="160"/>
        <w:pBdr>
          <w:bottom w:val="single" w:sz="4" w:space="1" w:color="9B958E"/>
        </w:pBdr>
      </w:pPr>
    </w:p>
    <w:p>
      <w:pPr>
        <w:sectPr>
          <w:pgSz w:w="12240" w:h="15840"/>
          <w:pgMar w:top="835" w:right="893" w:bottom="835" w:left="893" w:header="720" w:footer="720" w:gutter="0"/>
          <w:cols w:space="720"/>
          <w:docGrid w:linePitch="360"/>
        </w:sectPr>
      </w:pPr>
    </w:p>
    <w:p>
      <w:pPr>
        <w:pStyle w:val="Heading1"/>
        <w:keepNext/>
        <w:spacing w:before="160" w:after="80"/>
      </w:pPr>
      <w:r>
        <w:t>Worksheet 5 Access Building and Everyday Safety</w:t>
      </w:r>
    </w:p>
    <w:p>
      <w:r>
        <w:t>Walk from the site boundary through every client and worker area.</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288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Check</w:t>
            </w:r>
          </w:p>
        </w:tc>
        <w:tc>
          <w:tcPr>
            <w:tcW w:type="dxa" w:w="309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Measurement or observation</w:t>
            </w:r>
          </w:p>
        </w:tc>
        <w:tc>
          <w:tcPr>
            <w:tcW w:type="dxa" w:w="201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Local source</w:t>
            </w:r>
          </w:p>
        </w:tc>
        <w:tc>
          <w:tcPr>
            <w:tcW w:type="dxa" w:w="223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Action owner and date</w:t>
            </w: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Step-free route</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Ramp landing and handrails</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Door and corridor clearance</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Turning and treatment space</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Accessible toilet and counter</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Lighting at work surfaces</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Ventilation and filters</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Electrical outlets and leads</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Walking surfaces and trip hazards</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Emergency access</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bl>
    <w:p>
      <w:pPr>
        <w:sectPr>
          <w:pgSz w:w="12240" w:h="15840"/>
          <w:pgMar w:top="835" w:right="893" w:bottom="835" w:left="893" w:header="720" w:footer="720" w:gutter="0"/>
          <w:cols w:space="720"/>
          <w:docGrid w:linePitch="360"/>
        </w:sectPr>
      </w:pPr>
    </w:p>
    <w:p>
      <w:pPr>
        <w:pStyle w:val="Heading1"/>
        <w:keepNext/>
        <w:spacing w:before="160" w:after="80"/>
      </w:pPr>
      <w:r>
        <w:t>Worksheet 6 Fire and Emergency Readiness</w:t>
      </w:r>
    </w:p>
    <w:p>
      <w:r>
        <w:t>Confirm the required system with the fire authority or qualified contractor. Do not guess equipment numbers or types.</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295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Control</w:t>
            </w:r>
          </w:p>
        </w:tc>
        <w:tc>
          <w:tcPr>
            <w:tcW w:type="dxa" w:w="223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Present and working</w:t>
            </w:r>
          </w:p>
        </w:tc>
        <w:tc>
          <w:tcPr>
            <w:tcW w:type="dxa" w:w="3024"/>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Service or approval evidence</w:t>
            </w:r>
          </w:p>
        </w:tc>
        <w:tc>
          <w:tcPr>
            <w:tcW w:type="dxa" w:w="201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Action needed</w:t>
            </w:r>
          </w:p>
        </w:tc>
      </w:tr>
      <w:tr>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Occupancy and fire plan</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Alarm and detection</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Sprinklers or fixed system</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Emergency lighting</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Exit signs</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Clear exit routes</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Fire doors</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Portable extinguishers</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Assembly point</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9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Emergency action and drills</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01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bl>
    <w:p>
      <w:pPr>
        <w:sectPr>
          <w:pgSz w:w="12240" w:h="15840"/>
          <w:pgMar w:top="835" w:right="893" w:bottom="835" w:left="893" w:header="720" w:footer="720" w:gutter="0"/>
          <w:cols w:space="720"/>
          <w:docGrid w:linePitch="360"/>
        </w:sectPr>
      </w:pPr>
    </w:p>
    <w:p>
      <w:pPr>
        <w:pStyle w:val="Heading1"/>
        <w:keepNext/>
        <w:spacing w:before="160" w:after="80"/>
      </w:pPr>
      <w:r>
        <w:t>Worksheet 7 Instrument Reprocessing and PPE</w:t>
      </w:r>
    </w:p>
    <w:p>
      <w:r>
        <w:t>Trace one reusable instrument from use to protected sterile storage. If the studio uses single-use instruments only, document that system and its supply controls.</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288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Step or control</w:t>
            </w:r>
          </w:p>
        </w:tc>
        <w:tc>
          <w:tcPr>
            <w:tcW w:type="dxa" w:w="309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Equipment and procedure</w:t>
            </w:r>
          </w:p>
        </w:tc>
        <w:tc>
          <w:tcPr>
            <w:tcW w:type="dxa" w:w="237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Monitoring or record</w:t>
            </w:r>
          </w:p>
        </w:tc>
        <w:tc>
          <w:tcPr>
            <w:tcW w:type="dxa" w:w="187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Gap and correction</w:t>
            </w: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Safe collection of used items</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Cleaning and inspection</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Ultrasonic cleaner</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Drying and packaging</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Validated steriliser cycle</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Chemical indicator</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Biological monitoring</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Cycle failure and recall</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Protected sterile storage</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PPE selection and stock</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Training and competency</w:t>
            </w:r>
          </w:p>
        </w:tc>
        <w:tc>
          <w:tcPr>
            <w:tcW w:type="dxa" w:w="309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37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bl>
    <w:p>
      <w:pPr>
        <w:sectPr>
          <w:pgSz w:w="12240" w:h="15840"/>
          <w:pgMar w:top="835" w:right="893" w:bottom="835" w:left="893" w:header="720" w:footer="720" w:gutter="0"/>
          <w:cols w:space="720"/>
          <w:docGrid w:linePitch="360"/>
        </w:sectPr>
      </w:pPr>
    </w:p>
    <w:p>
      <w:pPr>
        <w:pStyle w:val="Heading1"/>
        <w:keepNext/>
        <w:spacing w:before="160" w:after="80"/>
      </w:pPr>
      <w:r>
        <w:t>Worksheet 8 Chemical Register and Safety Data Sheets</w:t>
      </w:r>
    </w:p>
    <w:p>
      <w:r>
        <w:t>Use the current product label and SDS. Do not copy information from a similar product.</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288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Product and use</w:t>
            </w:r>
          </w:p>
        </w:tc>
        <w:tc>
          <w:tcPr>
            <w:tcW w:type="dxa" w:w="223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SDS date and location</w:t>
            </w:r>
          </w:p>
        </w:tc>
        <w:tc>
          <w:tcPr>
            <w:tcW w:type="dxa" w:w="3384"/>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Storage PPE and spill control</w:t>
            </w:r>
          </w:p>
        </w:tc>
        <w:tc>
          <w:tcPr>
            <w:tcW w:type="dxa" w:w="1728"/>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Review action</w:t>
            </w: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Surface disinfectant</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72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Instrument detergent</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72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Skin antiseptic</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72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Hand hygiene product</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72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Pigment or ink</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72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Adhesive or remover</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72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Cleaning chemical</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72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Maintenance chemical</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72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Alcohol or flammable product</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72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88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Other hazardous product</w:t>
            </w: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33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72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bl>
    <w:p>
      <w:pPr>
        <w:sectPr>
          <w:pgSz w:w="12240" w:h="15840"/>
          <w:pgMar w:top="835" w:right="893" w:bottom="835" w:left="893" w:header="720" w:footer="720" w:gutter="0"/>
          <w:cols w:space="720"/>
          <w:docGrid w:linePitch="360"/>
        </w:sectPr>
      </w:pPr>
    </w:p>
    <w:p>
      <w:pPr>
        <w:pStyle w:val="Heading1"/>
        <w:keepNext/>
        <w:spacing w:before="160" w:after="80"/>
      </w:pPr>
      <w:r>
        <w:t>Worksheet 9 Waste Linen Storage and Pest Control</w:t>
      </w:r>
    </w:p>
    <w:p>
      <w:r>
        <w:t>Follow each item from the treatment area to lawful collection, laundering or protected storage.</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2664"/>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Item or risk</w:t>
            </w:r>
          </w:p>
        </w:tc>
        <w:tc>
          <w:tcPr>
            <w:tcW w:type="dxa" w:w="324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Container route and storage</w:t>
            </w:r>
          </w:p>
        </w:tc>
        <w:tc>
          <w:tcPr>
            <w:tcW w:type="dxa" w:w="2448"/>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Contract or cleaning proof</w:t>
            </w:r>
          </w:p>
        </w:tc>
        <w:tc>
          <w:tcPr>
            <w:tcW w:type="dxa" w:w="187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Problem and action</w:t>
            </w:r>
          </w:p>
        </w:tc>
      </w:tr>
      <w:tr>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Sharps</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Clinical or infectious waste</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General waste</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Used linen</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Clean linen</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Sterile supplies</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Delivery cardboard</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Food and staff items</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Pest entry or sighting</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66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Waste collection interruption</w:t>
            </w:r>
          </w:p>
        </w:tc>
        <w:tc>
          <w:tcPr>
            <w:tcW w:type="dxa" w:w="324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87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bl>
    <w:p>
      <w:pPr>
        <w:sectPr>
          <w:pgSz w:w="12240" w:h="15840"/>
          <w:pgMar w:top="835" w:right="893" w:bottom="835" w:left="893" w:header="720" w:footer="720" w:gutter="0"/>
          <w:cols w:space="720"/>
          <w:docGrid w:linePitch="360"/>
        </w:sectPr>
      </w:pPr>
    </w:p>
    <w:p>
      <w:pPr>
        <w:pStyle w:val="Heading1"/>
        <w:keepNext/>
        <w:spacing w:before="160" w:after="80"/>
      </w:pPr>
      <w:r>
        <w:t>Worksheet 10 Safety File Index</w:t>
      </w:r>
    </w:p>
    <w:p>
      <w:r>
        <w:t>Record the current version and location. Add the local retention period where a record must be kept.</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396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Document or record</w:t>
            </w:r>
          </w:p>
        </w:tc>
        <w:tc>
          <w:tcPr>
            <w:tcW w:type="dxa" w:w="259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Location and owner</w:t>
            </w:r>
          </w:p>
        </w:tc>
        <w:tc>
          <w:tcPr>
            <w:tcW w:type="dxa" w:w="252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Version review or expiry</w:t>
            </w:r>
          </w:p>
        </w:tc>
        <w:tc>
          <w:tcPr>
            <w:tcW w:type="dxa" w:w="115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Present</w:t>
            </w: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Licences approvals and plans</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Local requirements register</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Risk assessments</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Exposure-control plan</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Emergency and fire plan</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Cleaning and disinfection procedures</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Steriliser cycles tests and service</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PPE assessment and training</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Chemical register and SDS</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Waste contract and transfer records</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Electrical ventilation and water service</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Incident and exposure records</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96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Corrective-action register</w:t>
            </w: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15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bl>
    <w:p>
      <w:pPr>
        <w:sectPr>
          <w:pgSz w:w="12240" w:h="15840"/>
          <w:pgMar w:top="835" w:right="893" w:bottom="835" w:left="893" w:header="720" w:footer="720" w:gutter="0"/>
          <w:cols w:space="720"/>
          <w:docGrid w:linePitch="360"/>
        </w:sectPr>
      </w:pPr>
    </w:p>
    <w:p>
      <w:pPr>
        <w:pStyle w:val="Heading1"/>
        <w:keepNext/>
        <w:spacing w:before="160" w:after="80"/>
      </w:pPr>
      <w:r>
        <w:t>Worksheet 11 Mock Inspection</w:t>
      </w:r>
    </w:p>
    <w:p>
      <w:r>
        <w:t>Use the current official checklist when available. For each item, look at the setup, ask a worker and check the record.</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259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Area inspected</w:t>
            </w:r>
          </w:p>
        </w:tc>
        <w:tc>
          <w:tcPr>
            <w:tcW w:type="dxa" w:w="3456"/>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What was seen or demonstrated</w:t>
            </w:r>
          </w:p>
        </w:tc>
        <w:tc>
          <w:tcPr>
            <w:tcW w:type="dxa" w:w="259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Evidence checked</w:t>
            </w:r>
          </w:p>
        </w:tc>
        <w:tc>
          <w:tcPr>
            <w:tcW w:type="dxa" w:w="1584"/>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Result</w:t>
            </w: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Outside access and entrance</w:t>
            </w:r>
          </w:p>
        </w:tc>
        <w:tc>
          <w:tcPr>
            <w:tcW w:type="dxa" w:w="345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5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Reception and consultation</w:t>
            </w:r>
          </w:p>
        </w:tc>
        <w:tc>
          <w:tcPr>
            <w:tcW w:type="dxa" w:w="345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5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Toilet and handwashing</w:t>
            </w:r>
          </w:p>
        </w:tc>
        <w:tc>
          <w:tcPr>
            <w:tcW w:type="dxa" w:w="345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5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Treatment rooms</w:t>
            </w:r>
          </w:p>
        </w:tc>
        <w:tc>
          <w:tcPr>
            <w:tcW w:type="dxa" w:w="345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5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Clean storage</w:t>
            </w:r>
          </w:p>
        </w:tc>
        <w:tc>
          <w:tcPr>
            <w:tcW w:type="dxa" w:w="345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5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Reprocessing area</w:t>
            </w:r>
          </w:p>
        </w:tc>
        <w:tc>
          <w:tcPr>
            <w:tcW w:type="dxa" w:w="345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5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Chemicals</w:t>
            </w:r>
          </w:p>
        </w:tc>
        <w:tc>
          <w:tcPr>
            <w:tcW w:type="dxa" w:w="345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5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Waste and linen</w:t>
            </w:r>
          </w:p>
        </w:tc>
        <w:tc>
          <w:tcPr>
            <w:tcW w:type="dxa" w:w="345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5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Fire and emergency routes</w:t>
            </w:r>
          </w:p>
        </w:tc>
        <w:tc>
          <w:tcPr>
            <w:tcW w:type="dxa" w:w="345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5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vAlign w:val="center"/>
          </w:tcPr>
          <w:p>
            <w:pPr>
              <w:spacing w:after="0"/>
              <w:jc w:val="left"/>
            </w:pPr>
            <w:r/>
            <w:r>
              <w:rPr>
                <w:rFonts w:ascii="Aptos" w:hAnsi="Aptos"/>
                <w:b w:val="0"/>
                <w:color w:val="292724"/>
                <w:sz w:val="16"/>
              </w:rPr>
              <w:t>Staff knowledge</w:t>
            </w:r>
          </w:p>
        </w:tc>
        <w:tc>
          <w:tcPr>
            <w:tcW w:type="dxa" w:w="345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15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vAlign w:val="center"/>
          </w:tcPr>
          <w:p>
            <w:pPr>
              <w:spacing w:after="0"/>
              <w:jc w:val="left"/>
            </w:pPr>
            <w:r/>
            <w:r>
              <w:rPr>
                <w:rFonts w:ascii="Aptos" w:hAnsi="Aptos"/>
                <w:b w:val="0"/>
                <w:color w:val="292724"/>
                <w:sz w:val="16"/>
              </w:rPr>
              <w:t>Records and licences</w:t>
            </w:r>
          </w:p>
        </w:tc>
        <w:tc>
          <w:tcPr>
            <w:tcW w:type="dxa" w:w="3456"/>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158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bl>
    <w:p>
      <w:pPr>
        <w:sectPr>
          <w:pgSz w:w="12240" w:h="15840"/>
          <w:pgMar w:top="835" w:right="893" w:bottom="835" w:left="893" w:header="720" w:footer="720" w:gutter="0"/>
          <w:cols w:space="720"/>
          <w:docGrid w:linePitch="360"/>
        </w:sectPr>
      </w:pPr>
    </w:p>
    <w:p>
      <w:pPr>
        <w:pStyle w:val="Heading1"/>
        <w:keepNext/>
        <w:spacing w:before="160" w:after="80"/>
      </w:pPr>
      <w:r>
        <w:t>Worksheet 12 Corrective Action Register</w:t>
      </w:r>
    </w:p>
    <w:p>
      <w:r>
        <w:t>Record the cause and proof of closure. Never backdate or hide a finding.</w:t>
      </w:r>
    </w:p>
    <w:tbl>
      <w:tblPr>
        <w:tblW w:type="auto" w:w="0"/>
        <w:tblLayout w:type="fixed"/>
        <w:tblLook w:firstColumn="1" w:firstRow="1" w:lastColumn="0" w:lastRow="0" w:noHBand="0" w:noVBand="1" w:val="04A0"/>
      </w:tblPr>
      <w:tblGrid>
        <w:gridCol w:w="2613"/>
        <w:gridCol w:w="2613"/>
        <w:gridCol w:w="2613"/>
        <w:gridCol w:w="2613"/>
      </w:tblGrid>
      <w:tr>
        <w:trPr>
          <w:tblHeader w:val="true"/>
        </w:trPr>
        <w:tc>
          <w:tcPr>
            <w:tcW w:type="dxa" w:w="3024"/>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Finding and risk</w:t>
            </w:r>
          </w:p>
        </w:tc>
        <w:tc>
          <w:tcPr>
            <w:tcW w:type="dxa" w:w="2448"/>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Immediate control</w:t>
            </w:r>
          </w:p>
        </w:tc>
        <w:tc>
          <w:tcPr>
            <w:tcW w:type="dxa" w:w="223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Owner and due date</w:t>
            </w:r>
          </w:p>
        </w:tc>
        <w:tc>
          <w:tcPr>
            <w:tcW w:type="dxa" w:w="2520"/>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Closure evidence and review</w:t>
            </w:r>
          </w:p>
        </w:tc>
      </w:tr>
      <w:tr>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r>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F3F1ED"/>
          </w:tcPr>
          <w:p/>
        </w:tc>
      </w:tr>
      <w:tr>
        <w:tc>
          <w:tcPr>
            <w:tcW w:type="dxa" w:w="302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44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23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20"/>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bl>
    <w:p>
      <w:pPr>
        <w:pStyle w:val="Heading2"/>
        <w:keepNext/>
        <w:spacing w:before="160" w:after="80"/>
      </w:pPr>
      <w:r>
        <w:t>Highest Priority Finding</w:t>
      </w:r>
    </w:p>
    <w:p>
      <w:pPr>
        <w:spacing w:before="40" w:after="120"/>
      </w:pPr>
      <w:r>
        <w:rPr>
          <w:b/>
        </w:rPr>
        <w:t xml:space="preserve">How to complete this section  </w:t>
      </w:r>
      <w:r>
        <w:t>Explain why it matters, which service or area is affected and what must happen before normal work continues.</w:t>
      </w:r>
    </w:p>
    <w:p>
      <w:pPr>
        <w:spacing w:after="160"/>
        <w:pBdr>
          <w:bottom w:val="single" w:sz="4" w:space="1" w:color="9B958E"/>
        </w:pBdr>
      </w:pPr>
    </w:p>
    <w:p>
      <w:pPr>
        <w:spacing w:after="160"/>
        <w:pBdr>
          <w:bottom w:val="single" w:sz="4" w:space="1" w:color="9B958E"/>
        </w:pBdr>
      </w:pPr>
    </w:p>
    <w:p>
      <w:pPr>
        <w:spacing w:after="160"/>
        <w:pBdr>
          <w:bottom w:val="single" w:sz="4" w:space="1" w:color="9B958E"/>
        </w:pBdr>
      </w:pPr>
    </w:p>
    <w:p>
      <w:pPr>
        <w:sectPr>
          <w:pgSz w:w="12240" w:h="15840"/>
          <w:pgMar w:top="835" w:right="893" w:bottom="835" w:left="893" w:header="720" w:footer="720" w:gutter="0"/>
          <w:cols w:space="720"/>
          <w:docGrid w:linePitch="360"/>
        </w:sectPr>
      </w:pPr>
    </w:p>
    <w:p>
      <w:pPr>
        <w:pStyle w:val="Heading1"/>
        <w:keepNext/>
        <w:spacing w:before="160" w:after="80"/>
      </w:pPr>
      <w:r>
        <w:t>Learner Declaration and Final Review</w:t>
      </w:r>
    </w:p>
    <w:p>
      <w:r>
        <w:t>Complete this after the mock inspection and before the final assessment.</w:t>
      </w:r>
    </w:p>
    <w:p>
      <w:r>
        <w:rPr>
          <w:b/>
        </w:rPr>
        <w:t>The approval or local rule I confirmed was</w:t>
      </w:r>
    </w:p>
    <w:p>
      <w:pPr>
        <w:spacing w:after="160"/>
        <w:pBdr>
          <w:bottom w:val="single" w:sz="4" w:space="1" w:color="9B958E"/>
        </w:pBdr>
      </w:pPr>
    </w:p>
    <w:p>
      <w:r>
        <w:rPr>
          <w:b/>
        </w:rPr>
        <w:t>The layout or surface problem I corrected was</w:t>
      </w:r>
    </w:p>
    <w:p>
      <w:pPr>
        <w:spacing w:after="160"/>
        <w:pBdr>
          <w:bottom w:val="single" w:sz="4" w:space="1" w:color="9B958E"/>
        </w:pBdr>
      </w:pPr>
    </w:p>
    <w:p>
      <w:r>
        <w:rPr>
          <w:b/>
        </w:rPr>
        <w:t>The handwashing access or fire control I improved was</w:t>
      </w:r>
    </w:p>
    <w:p>
      <w:pPr>
        <w:spacing w:after="160"/>
        <w:pBdr>
          <w:bottom w:val="single" w:sz="4" w:space="1" w:color="9B958E"/>
        </w:pBdr>
      </w:pPr>
    </w:p>
    <w:p>
      <w:r>
        <w:rPr>
          <w:b/>
        </w:rPr>
        <w:t>The sterilisation PPE or chemical record I checked was</w:t>
      </w:r>
    </w:p>
    <w:p>
      <w:pPr>
        <w:spacing w:after="160"/>
        <w:pBdr>
          <w:bottom w:val="single" w:sz="4" w:space="1" w:color="9B958E"/>
        </w:pBdr>
      </w:pPr>
    </w:p>
    <w:p>
      <w:r>
        <w:rPr>
          <w:b/>
        </w:rPr>
        <w:t>The waste storage or safety-file gap I closed was</w:t>
      </w:r>
    </w:p>
    <w:p>
      <w:pPr>
        <w:spacing w:after="160"/>
        <w:pBdr>
          <w:bottom w:val="single" w:sz="4" w:space="1" w:color="9B958E"/>
        </w:pBdr>
      </w:pPr>
    </w:p>
    <w:p>
      <w:r>
        <w:rPr>
          <w:b/>
        </w:rPr>
        <w:t>The next professional or authority I must contact is</w:t>
      </w:r>
    </w:p>
    <w:p>
      <w:pPr>
        <w:spacing w:after="160"/>
        <w:pBdr>
          <w:bottom w:val="single" w:sz="4" w:space="1" w:color="9B958E"/>
        </w:pBdr>
      </w:pPr>
    </w:p>
    <w:p>
      <w:r>
        <w:rPr>
          <w:b/>
        </w:rPr>
        <w:t xml:space="preserve">Declaration  </w:t>
      </w:r>
      <w:r>
        <w:t>I understand that this course and workbook do not approve a premises or guarantee an inspection result. I will use current local requirements, obtain competent technical advice and record studio conditions honestly.</w:t>
      </w:r>
    </w:p>
    <w:tbl>
      <w:tblPr>
        <w:tblW w:type="auto" w:w="0"/>
        <w:tblLayout w:type="fixed"/>
        <w:tblLook w:firstColumn="1" w:firstRow="1" w:lastColumn="0" w:lastRow="0" w:noHBand="0" w:noVBand="1" w:val="04A0"/>
      </w:tblPr>
      <w:tblGrid>
        <w:gridCol w:w="3485"/>
        <w:gridCol w:w="3485"/>
        <w:gridCol w:w="3485"/>
      </w:tblGrid>
      <w:tr>
        <w:trPr>
          <w:tblHeader w:val="true"/>
        </w:trPr>
        <w:tc>
          <w:tcPr>
            <w:tcW w:type="dxa" w:w="3744"/>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Learner name</w:t>
            </w:r>
          </w:p>
        </w:tc>
        <w:tc>
          <w:tcPr>
            <w:tcW w:type="dxa" w:w="3888"/>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Signature</w:t>
            </w:r>
          </w:p>
        </w:tc>
        <w:tc>
          <w:tcPr>
            <w:tcW w:type="dxa" w:w="2592"/>
            <w:vAlign w:val="center"/>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shd w:fill="292724"/>
          </w:tcPr>
          <w:p>
            <w:pPr>
              <w:spacing w:after="0"/>
              <w:jc w:val="left"/>
            </w:pPr>
            <w:r>
              <w:rPr>
                <w:b/>
                <w:color w:val="FFFFFF"/>
              </w:rPr>
            </w:r>
            <w:r>
              <w:rPr>
                <w:rFonts w:ascii="Aptos" w:hAnsi="Aptos"/>
                <w:b/>
                <w:color w:val="FFFFFF"/>
                <w:sz w:val="16"/>
              </w:rPr>
              <w:t>Date</w:t>
            </w:r>
          </w:p>
        </w:tc>
      </w:tr>
      <w:tr>
        <w:tc>
          <w:tcPr>
            <w:tcW w:type="dxa" w:w="3744"/>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3888"/>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c>
          <w:tcPr>
            <w:tcW w:type="dxa" w:w="2592"/>
            <w:tcBorders>
              <w:top w:val="single" w:sz="4" w:color="D9D9D9"/>
              <w:left w:val="single" w:sz="4" w:color="D9D9D9"/>
              <w:bottom w:val="single" w:sz="4" w:color="D9D9D9"/>
              <w:right w:val="single" w:sz="4" w:color="D9D9D9"/>
              <w:insideH w:val="single" w:sz="4" w:color="D9D9D9"/>
              <w:insideV w:val="single" w:sz="4" w:color="D9D9D9"/>
            </w:tcBorders>
            <w:tcMar>
              <w:top w:w="90" w:type="dxa"/>
              <w:start w:w="100" w:type="dxa"/>
              <w:bottom w:w="90" w:type="dxa"/>
              <w:end w:w="100" w:type="dxa"/>
            </w:tcMar>
          </w:tcPr>
          <w:p/>
        </w:tc>
      </w:tr>
    </w:tbl>
    <w:p>
      <w:pPr>
        <w:sectPr>
          <w:pgSz w:w="12240" w:h="15840"/>
          <w:pgMar w:top="835" w:right="893" w:bottom="835" w:left="893" w:header="720" w:footer="720" w:gutter="0"/>
          <w:cols w:space="720"/>
          <w:docGrid w:linePitch="360"/>
        </w:sectPr>
      </w:pPr>
    </w:p>
    <w:p>
      <w:pPr>
        <w:pStyle w:val="Heading1"/>
        <w:keepNext/>
        <w:spacing w:before="160" w:after="80"/>
      </w:pPr>
      <w:r>
        <w:t>Reference Sources</w:t>
      </w:r>
    </w:p>
    <w:p>
      <w:r>
        <w:t>These sources support the common inspection themes in the course. Always replace example measurements and legal names with the current requirements for the studio's address.</w:t>
      </w:r>
    </w:p>
    <w:p>
      <w:pPr>
        <w:pStyle w:val="ListBullet"/>
      </w:pPr>
      <w:hyperlink r:id="rId11">
        <w:r>
          <w:rPr>
            <w:color w:val="6B4A17"/>
            <w:u w:val="single"/>
          </w:rPr>
          <w:t>Auckland Council Health and Hygiene Code of Practice 2013</w:t>
        </w:r>
      </w:hyperlink>
    </w:p>
    <w:p>
      <w:pPr>
        <w:pStyle w:val="ListBullet"/>
      </w:pPr>
      <w:hyperlink r:id="rId12">
        <w:r>
          <w:rPr>
            <w:color w:val="6B4A17"/>
            <w:u w:val="single"/>
          </w:rPr>
          <w:t>UK Health Security Agency tattooing and body piercing infection prevention guidance</w:t>
        </w:r>
      </w:hyperlink>
    </w:p>
    <w:p>
      <w:pPr>
        <w:pStyle w:val="ListBullet"/>
      </w:pPr>
      <w:hyperlink r:id="rId13">
        <w:r>
          <w:rPr>
            <w:color w:val="6B4A17"/>
            <w:u w:val="single"/>
          </w:rPr>
          <w:t>CDC cleaning before disinfection and sterilisation</w:t>
        </w:r>
      </w:hyperlink>
    </w:p>
    <w:p>
      <w:pPr>
        <w:pStyle w:val="ListBullet"/>
      </w:pPr>
      <w:hyperlink r:id="rId14">
        <w:r>
          <w:rPr>
            <w:color w:val="6B4A17"/>
            <w:u w:val="single"/>
          </w:rPr>
          <w:t>OSHA Bloodborne Pathogens overview</w:t>
        </w:r>
      </w:hyperlink>
    </w:p>
    <w:p>
      <w:pPr>
        <w:pStyle w:val="ListBullet"/>
      </w:pPr>
      <w:hyperlink r:id="rId15">
        <w:r>
          <w:rPr>
            <w:color w:val="6B4A17"/>
            <w:u w:val="single"/>
          </w:rPr>
          <w:t>OSHA Hazard Communication overview</w:t>
        </w:r>
      </w:hyperlink>
    </w:p>
    <w:p>
      <w:pPr>
        <w:pStyle w:val="ListBullet"/>
      </w:pPr>
      <w:hyperlink r:id="rId16">
        <w:r>
          <w:rPr>
            <w:color w:val="6B4A17"/>
            <w:u w:val="single"/>
          </w:rPr>
          <w:t>OSHA exit route requirements</w:t>
        </w:r>
      </w:hyperlink>
    </w:p>
    <w:p>
      <w:pPr>
        <w:pStyle w:val="ListBullet"/>
      </w:pPr>
      <w:hyperlink r:id="rId17">
        <w:r>
          <w:rPr>
            <w:color w:val="6B4A17"/>
            <w:u w:val="single"/>
          </w:rPr>
          <w:t>OSHA portable fire extinguisher requirements</w:t>
        </w:r>
      </w:hyperlink>
    </w:p>
    <w:p>
      <w:pPr>
        <w:pStyle w:val="ListBullet"/>
      </w:pPr>
      <w:hyperlink r:id="rId18">
        <w:r>
          <w:rPr>
            <w:color w:val="6B4A17"/>
            <w:u w:val="single"/>
          </w:rPr>
          <w:t>United States ADA Standards for Accessible Design</w:t>
        </w:r>
      </w:hyperlink>
    </w:p>
    <w:p>
      <w:pPr>
        <w:pStyle w:val="ListBullet"/>
      </w:pPr>
      <w:hyperlink r:id="rId19">
        <w:r>
          <w:rPr>
            <w:color w:val="6B4A17"/>
            <w:u w:val="single"/>
          </w:rPr>
          <w:t>WHO water sanitation hygiene and waste in facilities</w:t>
        </w:r>
      </w:hyperlink>
    </w:p>
    <w:p>
      <w:pPr>
        <w:pStyle w:val="Heading2"/>
        <w:keepNext/>
        <w:spacing w:before="160" w:after="80"/>
      </w:pPr>
      <w:r>
        <w:t>Source Check</w:t>
      </w:r>
    </w:p>
    <w:p>
      <w:r>
        <w:t>The attached Auckland document is dated 2013 and marked as updated 5 March 2014. Auckland Council consulted on proposed updates in 2026. Confirm its current status and any replacement code before using it for an Auckland premises.</w:t>
      </w:r>
    </w:p>
    <w:p>
      <w:pPr>
        <w:spacing w:after="100"/>
        <w:jc w:val="center"/>
      </w:pPr>
      <w:r>
        <w:drawing>
          <wp:inline xmlns:a="http://schemas.openxmlformats.org/drawingml/2006/main" xmlns:pic="http://schemas.openxmlformats.org/drawingml/2006/picture">
            <wp:extent cx="4754880" cy="2676042"/>
            <wp:docPr id="2" name="Picture 2" title="Mock inspection closeout" descr="Inspector and body art studio team reviewing a mock inspection action list"/>
            <wp:cNvGraphicFramePr>
              <a:graphicFrameLocks noChangeAspect="1"/>
            </wp:cNvGraphicFramePr>
            <a:graphic>
              <a:graphicData uri="http://schemas.openxmlformats.org/drawingml/2006/picture">
                <pic:pic>
                  <pic:nvPicPr>
                    <pic:cNvPr id="0" name="mock-inspection-closeout.png"/>
                    <pic:cNvPicPr/>
                  </pic:nvPicPr>
                  <pic:blipFill>
                    <a:blip r:embed="rId20"/>
                    <a:stretch>
                      <a:fillRect/>
                    </a:stretch>
                  </pic:blipFill>
                  <pic:spPr>
                    <a:xfrm>
                      <a:off x="0" y="0"/>
                      <a:ext cx="4754880" cy="2676042"/>
                    </a:xfrm>
                    <a:prstGeom prst="rect"/>
                  </pic:spPr>
                </pic:pic>
              </a:graphicData>
            </a:graphic>
          </wp:inline>
        </w:drawing>
      </w:r>
    </w:p>
    <w:sectPr w:rsidR="00FC693F" w:rsidRPr="0006063C" w:rsidSect="00034616">
      <w:pgSz w:w="12240" w:h="15840"/>
      <w:pgMar w:top="835" w:right="893" w:bottom="835"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15B"/>
        <w:sz w:val="16"/>
      </w:rPr>
      <w:t xml:space="preserve">BAQA Studio Health Inspection Workbook  |  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ptos" w:hAnsi="Aptos"/>
      <w:color w:val="29272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00000"/>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00000"/>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ptos Display" w:hAnsi="Aptos Display"/>
      <w:b/>
      <w:color w:val="00000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new.aucklandcouncil.govt.nz/content/dam/ac/docs/bylaws/healthandhygienecodeofpractice2013.pdf" TargetMode="External"/><Relationship Id="rId12" Type="http://schemas.openxmlformats.org/officeDocument/2006/relationships/hyperlink" Target="https://www.gov.uk/guidance/tattooing-and-body-piercing-infection-prevention-and-control" TargetMode="External"/><Relationship Id="rId13" Type="http://schemas.openxmlformats.org/officeDocument/2006/relationships/hyperlink" Target="https://www.cdc.gov/infection-control/hcp/disinfection-sterilization/cleaning.html" TargetMode="External"/><Relationship Id="rId14" Type="http://schemas.openxmlformats.org/officeDocument/2006/relationships/hyperlink" Target="https://www.osha.gov/bloodborne-pathogens" TargetMode="External"/><Relationship Id="rId15" Type="http://schemas.openxmlformats.org/officeDocument/2006/relationships/hyperlink" Target="https://www.osha.gov/hazcom/" TargetMode="External"/><Relationship Id="rId16" Type="http://schemas.openxmlformats.org/officeDocument/2006/relationships/hyperlink" Target="https://www.osha.gov/laws-regs/regulations/standardnumber/1910/1910.37" TargetMode="External"/><Relationship Id="rId17" Type="http://schemas.openxmlformats.org/officeDocument/2006/relationships/hyperlink" Target="https://www.osha.gov/laws-regs/regulations/standardnumber/1910/1910.157" TargetMode="External"/><Relationship Id="rId18" Type="http://schemas.openxmlformats.org/officeDocument/2006/relationships/hyperlink" Target="https://www.ada.gov/law-and-regs/design-standards/2010-stds/" TargetMode="External"/><Relationship Id="rId19" Type="http://schemas.openxmlformats.org/officeDocument/2006/relationships/hyperlink" Target="https://www.who.int/teams/environment-climate-change-and-health/water-sanitation-and-health-%28wash%29/health-care-facilities" TargetMode="External"/><Relationship Id="rId2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BAQA Studio Health Inspection and Design Readiness Workbook</dc:title>
  <dc:subject>Studio planning, inspection preparation and corrective action workbook for body art businesses</dc:subject>
  <dc:creator>Body Art Qualification Authority</dc:creator>
  <cp:keywords>body art studio, health inspection, studio design, safety file, sterilisation, waste</cp:keywords>
  <dc:description>generated by python-docx</dc:description>
  <cp:lastModifiedBy/>
  <cp:revision>1</cp:revision>
  <dcterms:created xsi:type="dcterms:W3CDTF">2013-12-23T23:15:00Z</dcterms:created>
  <dcterms:modified xsi:type="dcterms:W3CDTF">2013-12-23T23:15:00Z</dcterms:modified>
  <cp:category/>
</cp:coreProperties>
</file>