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Model Body Art Regulation Template</w:t>
      </w:r>
    </w:p>
    <w:p>
      <w:pPr>
        <w:pStyle w:val="Subtitle"/>
      </w:pPr>
      <w:r>
        <w:t>A modular starting point for governments, states, provinces, districts, municipalities and councils</w:t>
      </w:r>
    </w:p>
    <w:p>
      <w:pPr>
        <w:pStyle w:val="BAQAMetadata"/>
      </w:pPr>
      <w:r>
        <w:t>Document BAQA-AUTH-MODEL-001   Version 0.1   Published 4 September 2026</w:t>
      </w:r>
    </w:p>
    <w:p>
      <w:pPr>
        <w:pStyle w:val="BAQAMetadata"/>
      </w:pPr>
      <w:r>
        <w:t>Status: Free adaptable model for consultation and local legal review</w:t>
      </w:r>
    </w:p>
    <w:p>
      <w:r>
        <w:rPr>
          <w:b/>
        </w:rPr>
        <w:t xml:space="preserve">Important scope. </w:t>
      </w:r>
      <w:r>
        <w:t>This is a non-binding starting point, not legal advice and not a substitute for the legislation, public-health evidence, constitutional duties or rule-making procedure that applies in a jurisdiction. The adopting authority must obtain local legal and technical review, consult affected communities and publish the final evidence and reasons for its decisions.</w:t>
      </w:r>
    </w:p>
    <w:p>
      <w:pPr>
        <w:pStyle w:val="Heading1"/>
      </w:pPr>
      <w:r>
        <w:t>How to use this template</w:t>
      </w:r>
    </w:p>
    <w:p>
      <w:r>
        <w:t>Replace square-bracket variables, delete provisions outside the authority's legal power, and select only requirements supported by local evidence. The words must, should and may should be used consistently with the jurisdiction's drafting rules. Publish a clause-by-clause explanation with the final proposal.</w:t>
      </w:r>
    </w:p>
    <w:tbl>
      <w:tblPr>
        <w:tblStyle w:val="TableGrid"/>
        <w:tblW w:type="auto" w:w="0"/>
        <w:jc w:val="center"/>
        <w:tblLook w:firstColumn="1" w:firstRow="1" w:lastColumn="0" w:lastRow="0" w:noHBand="0" w:noVBand="1" w:val="04A0"/>
      </w:tblPr>
      <w:tblGrid>
        <w:gridCol w:w="4939"/>
        <w:gridCol w:w="4939"/>
      </w:tblGrid>
      <w:tr>
        <w:trPr>
          <w:tblHeader w:val="true"/>
        </w:trPr>
        <w:tc>
          <w:tcPr>
            <w:tcW w:type="dxa" w:w="2376"/>
            <w:shd w:fill="332F2D"/>
            <w:tcMar>
              <w:top w:w="100" w:type="dxa"/>
              <w:start w:w="120" w:type="dxa"/>
              <w:bottom w:w="100" w:type="dxa"/>
              <w:end w:w="120" w:type="dxa"/>
            </w:tcMar>
            <w:vAlign w:val="center"/>
          </w:tcPr>
          <w:p>
            <w:pPr>
              <w:jc w:val="left"/>
            </w:pPr>
            <w:r>
              <w:rPr>
                <w:b/>
                <w:color w:val="FFFFFF"/>
              </w:rPr>
              <w:t>Variable</w:t>
            </w:r>
          </w:p>
        </w:tc>
        <w:tc>
          <w:tcPr>
            <w:tcW w:type="dxa" w:w="7416"/>
            <w:shd w:fill="332F2D"/>
            <w:tcMar>
              <w:top w:w="100" w:type="dxa"/>
              <w:start w:w="120" w:type="dxa"/>
              <w:bottom w:w="100" w:type="dxa"/>
              <w:end w:w="120" w:type="dxa"/>
            </w:tcMar>
            <w:vAlign w:val="center"/>
          </w:tcPr>
          <w:p>
            <w:pPr>
              <w:jc w:val="left"/>
            </w:pPr>
            <w:r>
              <w:rPr>
                <w:b/>
                <w:color w:val="FFFFFF"/>
              </w:rPr>
              <w:t>What the authority supplies</w:t>
            </w:r>
          </w:p>
        </w:tc>
      </w:tr>
      <w:tr>
        <w:trPr>
          <w:cantSplit/>
        </w:trPr>
        <w:tc>
          <w:tcPr>
            <w:tcW w:type="dxa" w:w="2376"/>
            <w:tcMar>
              <w:top w:w="100" w:type="dxa"/>
              <w:start w:w="120" w:type="dxa"/>
              <w:bottom w:w="100" w:type="dxa"/>
              <w:end w:w="120" w:type="dxa"/>
            </w:tcMar>
            <w:vAlign w:val="center"/>
          </w:tcPr>
          <w:p>
            <w:r>
              <w:t>[AUTHORITY]</w:t>
            </w:r>
          </w:p>
        </w:tc>
        <w:tc>
          <w:tcPr>
            <w:tcW w:type="dxa" w:w="7416"/>
            <w:tcMar>
              <w:top w:w="100" w:type="dxa"/>
              <w:start w:w="120" w:type="dxa"/>
              <w:bottom w:w="100" w:type="dxa"/>
              <w:end w:w="120" w:type="dxa"/>
            </w:tcMar>
            <w:vAlign w:val="center"/>
          </w:tcPr>
          <w:p>
            <w:r>
              <w:t>Legal name of the adopting or enforcing authority</w:t>
            </w:r>
          </w:p>
        </w:tc>
      </w:tr>
      <w:tr>
        <w:trPr>
          <w:cantSplit/>
        </w:trPr>
        <w:tc>
          <w:tcPr>
            <w:tcW w:type="dxa" w:w="2376"/>
            <w:shd w:fill="F4F2EF"/>
            <w:tcMar>
              <w:top w:w="100" w:type="dxa"/>
              <w:start w:w="120" w:type="dxa"/>
              <w:bottom w:w="100" w:type="dxa"/>
              <w:end w:w="120" w:type="dxa"/>
            </w:tcMar>
            <w:vAlign w:val="center"/>
          </w:tcPr>
          <w:p>
            <w:r>
              <w:t>[ENABLING LAW]</w:t>
            </w:r>
          </w:p>
        </w:tc>
        <w:tc>
          <w:tcPr>
            <w:tcW w:type="dxa" w:w="7416"/>
            <w:shd w:fill="F4F2EF"/>
            <w:tcMar>
              <w:top w:w="100" w:type="dxa"/>
              <w:start w:w="120" w:type="dxa"/>
              <w:bottom w:w="100" w:type="dxa"/>
              <w:end w:w="120" w:type="dxa"/>
            </w:tcMar>
            <w:vAlign w:val="center"/>
          </w:tcPr>
          <w:p>
            <w:r>
              <w:t>Legislation granting the authority power to regulate</w:t>
            </w:r>
          </w:p>
        </w:tc>
      </w:tr>
      <w:tr>
        <w:trPr>
          <w:cantSplit/>
        </w:trPr>
        <w:tc>
          <w:tcPr>
            <w:tcW w:type="dxa" w:w="2376"/>
            <w:tcMar>
              <w:top w:w="100" w:type="dxa"/>
              <w:start w:w="120" w:type="dxa"/>
              <w:bottom w:w="100" w:type="dxa"/>
              <w:end w:w="120" w:type="dxa"/>
            </w:tcMar>
            <w:vAlign w:val="center"/>
          </w:tcPr>
          <w:p>
            <w:r>
              <w:t>[BODY ART ACTIVITIES]</w:t>
            </w:r>
          </w:p>
        </w:tc>
        <w:tc>
          <w:tcPr>
            <w:tcW w:type="dxa" w:w="7416"/>
            <w:tcMar>
              <w:top w:w="100" w:type="dxa"/>
              <w:start w:w="120" w:type="dxa"/>
              <w:bottom w:w="100" w:type="dxa"/>
              <w:end w:w="120" w:type="dxa"/>
            </w:tcMar>
            <w:vAlign w:val="center"/>
          </w:tcPr>
          <w:p>
            <w:r>
              <w:t>Activities legally within scope</w:t>
            </w:r>
          </w:p>
        </w:tc>
      </w:tr>
      <w:tr>
        <w:trPr>
          <w:cantSplit/>
        </w:trPr>
        <w:tc>
          <w:tcPr>
            <w:tcW w:type="dxa" w:w="2376"/>
            <w:shd w:fill="F4F2EF"/>
            <w:tcMar>
              <w:top w:w="100" w:type="dxa"/>
              <w:start w:w="120" w:type="dxa"/>
              <w:bottom w:w="100" w:type="dxa"/>
              <w:end w:w="120" w:type="dxa"/>
            </w:tcMar>
            <w:vAlign w:val="center"/>
          </w:tcPr>
          <w:p>
            <w:r>
              <w:t>[MINIMUM AGE]</w:t>
            </w:r>
          </w:p>
        </w:tc>
        <w:tc>
          <w:tcPr>
            <w:tcW w:type="dxa" w:w="7416"/>
            <w:shd w:fill="F4F2EF"/>
            <w:tcMar>
              <w:top w:w="100" w:type="dxa"/>
              <w:start w:w="120" w:type="dxa"/>
              <w:bottom w:w="100" w:type="dxa"/>
              <w:end w:w="120" w:type="dxa"/>
            </w:tcMar>
            <w:vAlign w:val="center"/>
          </w:tcPr>
          <w:p>
            <w:r>
              <w:t>Age rule and lawful consent or safeguarding exceptions</w:t>
            </w:r>
          </w:p>
        </w:tc>
      </w:tr>
      <w:tr>
        <w:trPr>
          <w:cantSplit/>
        </w:trPr>
        <w:tc>
          <w:tcPr>
            <w:tcW w:type="dxa" w:w="2376"/>
            <w:tcMar>
              <w:top w:w="100" w:type="dxa"/>
              <w:start w:w="120" w:type="dxa"/>
              <w:bottom w:w="100" w:type="dxa"/>
              <w:end w:w="120" w:type="dxa"/>
            </w:tcMar>
            <w:vAlign w:val="center"/>
          </w:tcPr>
          <w:p>
            <w:r>
              <w:t>[RETENTION PERIOD]</w:t>
            </w:r>
          </w:p>
        </w:tc>
        <w:tc>
          <w:tcPr>
            <w:tcW w:type="dxa" w:w="7416"/>
            <w:tcMar>
              <w:top w:w="100" w:type="dxa"/>
              <w:start w:w="120" w:type="dxa"/>
              <w:bottom w:w="100" w:type="dxa"/>
              <w:end w:w="120" w:type="dxa"/>
            </w:tcMar>
            <w:vAlign w:val="center"/>
          </w:tcPr>
          <w:p>
            <w:r>
              <w:t>Lawful record-retention period</w:t>
            </w:r>
          </w:p>
        </w:tc>
      </w:tr>
      <w:tr>
        <w:trPr>
          <w:cantSplit/>
        </w:trPr>
        <w:tc>
          <w:tcPr>
            <w:tcW w:type="dxa" w:w="2376"/>
            <w:shd w:fill="F4F2EF"/>
            <w:tcMar>
              <w:top w:w="100" w:type="dxa"/>
              <w:start w:w="120" w:type="dxa"/>
              <w:bottom w:w="100" w:type="dxa"/>
              <w:end w:w="120" w:type="dxa"/>
            </w:tcMar>
            <w:vAlign w:val="center"/>
          </w:tcPr>
          <w:p>
            <w:r>
              <w:t>[REVIEW PERIOD]</w:t>
            </w:r>
          </w:p>
        </w:tc>
        <w:tc>
          <w:tcPr>
            <w:tcW w:type="dxa" w:w="7416"/>
            <w:shd w:fill="F4F2EF"/>
            <w:tcMar>
              <w:top w:w="100" w:type="dxa"/>
              <w:start w:w="120" w:type="dxa"/>
              <w:bottom w:w="100" w:type="dxa"/>
              <w:end w:w="120" w:type="dxa"/>
            </w:tcMar>
            <w:vAlign w:val="center"/>
          </w:tcPr>
          <w:p>
            <w:r>
              <w:t>Scheduled regulatory review interval</w:t>
            </w:r>
          </w:p>
        </w:tc>
      </w:tr>
    </w:tbl>
    <w:p/>
    <w:p>
      <w:pPr>
        <w:pStyle w:val="Heading1"/>
      </w:pPr>
      <w:r>
        <w:t>Part 1  Purpose authority and scope</w:t>
      </w:r>
    </w:p>
    <w:p>
      <w:pPr>
        <w:pStyle w:val="Heading2"/>
      </w:pPr>
      <w:r>
        <w:t>1.1  Purpose</w:t>
      </w:r>
    </w:p>
    <w:p>
      <w:r>
        <w:t>The purpose of this Regulation is to reduce reasonably foreseeable public-health and consumer risks associated with [BODY ART ACTIVITIES] while supporting fair, transparent and proportionate administration.</w:t>
      </w:r>
    </w:p>
    <w:p>
      <w:pPr>
        <w:pStyle w:val="Heading2"/>
      </w:pPr>
      <w:r>
        <w:t>1.2  Authority</w:t>
      </w:r>
    </w:p>
    <w:p>
      <w:r>
        <w:t>[AUTHORITY] adopts this Regulation under [ENABLING LAW]. Nothing in this Regulation expands the Authority's legal powers or displaces a requirement imposed by a higher level of law.</w:t>
      </w:r>
    </w:p>
    <w:p>
      <w:pPr>
        <w:pStyle w:val="Heading2"/>
      </w:pPr>
      <w:r>
        <w:t>1.3  Scope</w:t>
      </w:r>
    </w:p>
    <w:p>
      <w:r>
        <w:t>This Regulation applies to persons, premises, mobile services and temporary events carrying out an activity included in [BODY ART ACTIVITIES] within [JURISDICTION]. Exclusions must be listed expressly and supported by law.</w:t>
      </w:r>
    </w:p>
    <w:p>
      <w:pPr>
        <w:pStyle w:val="Heading2"/>
      </w:pPr>
      <w:r>
        <w:t>1.4  Regulatory neutrality</w:t>
      </w:r>
    </w:p>
    <w:p>
      <w:r>
        <w:t>A private membership, certificate, accreditation, badge or directory listing does not itself constitute a public licence or establish legal compliance. The Authority must apply published criteria consistently and must not require membership of a named private organisation unless a lawful, evidence-based and non-discriminatory process independently establishes that requirement.</w:t>
      </w:r>
    </w:p>
    <w:p>
      <w:pPr>
        <w:pStyle w:val="Heading1"/>
      </w:pPr>
      <w:r>
        <w:t>Part 2  Definitions</w:t>
      </w:r>
    </w:p>
    <w:tbl>
      <w:tblPr>
        <w:tblStyle w:val="TableGrid"/>
        <w:tblW w:type="auto" w:w="0"/>
        <w:jc w:val="center"/>
        <w:tblLook w:firstColumn="1" w:firstRow="1" w:lastColumn="0" w:lastRow="0" w:noHBand="0" w:noVBand="1" w:val="04A0"/>
      </w:tblPr>
      <w:tblGrid>
        <w:gridCol w:w="4939"/>
        <w:gridCol w:w="4939"/>
      </w:tblGrid>
      <w:tr>
        <w:trPr>
          <w:tblHeader w:val="true"/>
        </w:trPr>
        <w:tc>
          <w:tcPr>
            <w:tcW w:type="dxa" w:w="2376"/>
            <w:shd w:fill="332F2D"/>
            <w:tcMar>
              <w:top w:w="100" w:type="dxa"/>
              <w:start w:w="120" w:type="dxa"/>
              <w:bottom w:w="100" w:type="dxa"/>
              <w:end w:w="120" w:type="dxa"/>
            </w:tcMar>
            <w:vAlign w:val="center"/>
          </w:tcPr>
          <w:p>
            <w:pPr>
              <w:jc w:val="left"/>
            </w:pPr>
            <w:r>
              <w:rPr>
                <w:b/>
                <w:color w:val="FFFFFF"/>
              </w:rPr>
              <w:t>Term</w:t>
            </w:r>
          </w:p>
        </w:tc>
        <w:tc>
          <w:tcPr>
            <w:tcW w:type="dxa" w:w="7416"/>
            <w:shd w:fill="332F2D"/>
            <w:tcMar>
              <w:top w:w="100" w:type="dxa"/>
              <w:start w:w="120" w:type="dxa"/>
              <w:bottom w:w="100" w:type="dxa"/>
              <w:end w:w="120" w:type="dxa"/>
            </w:tcMar>
            <w:vAlign w:val="center"/>
          </w:tcPr>
          <w:p>
            <w:pPr>
              <w:jc w:val="left"/>
            </w:pPr>
            <w:r>
              <w:rPr>
                <w:b/>
                <w:color w:val="FFFFFF"/>
              </w:rPr>
              <w:t>Model definition to adapt</w:t>
            </w:r>
          </w:p>
        </w:tc>
      </w:tr>
      <w:tr>
        <w:trPr>
          <w:cantSplit/>
        </w:trPr>
        <w:tc>
          <w:tcPr>
            <w:tcW w:type="dxa" w:w="2376"/>
            <w:tcMar>
              <w:top w:w="100" w:type="dxa"/>
              <w:start w:w="120" w:type="dxa"/>
              <w:bottom w:w="100" w:type="dxa"/>
              <w:end w:w="120" w:type="dxa"/>
            </w:tcMar>
            <w:vAlign w:val="center"/>
          </w:tcPr>
          <w:p>
            <w:r>
              <w:t>Body art</w:t>
            </w:r>
          </w:p>
        </w:tc>
        <w:tc>
          <w:tcPr>
            <w:tcW w:type="dxa" w:w="7416"/>
            <w:tcMar>
              <w:top w:w="100" w:type="dxa"/>
              <w:start w:w="120" w:type="dxa"/>
              <w:bottom w:w="100" w:type="dxa"/>
              <w:end w:w="120" w:type="dxa"/>
            </w:tcMar>
            <w:vAlign w:val="center"/>
          </w:tcPr>
          <w:p>
            <w:r>
              <w:t>A procedure within the adopted scope that intentionally pierces, penetrates, alters or introduces material into or through skin or mucosa for decorative, cosmetic or cultural purposes.</w:t>
            </w:r>
          </w:p>
        </w:tc>
      </w:tr>
      <w:tr>
        <w:trPr>
          <w:cantSplit/>
        </w:trPr>
        <w:tc>
          <w:tcPr>
            <w:tcW w:type="dxa" w:w="2376"/>
            <w:shd w:fill="F4F2EF"/>
            <w:tcMar>
              <w:top w:w="100" w:type="dxa"/>
              <w:start w:w="120" w:type="dxa"/>
              <w:bottom w:w="100" w:type="dxa"/>
              <w:end w:w="120" w:type="dxa"/>
            </w:tcMar>
            <w:vAlign w:val="center"/>
          </w:tcPr>
          <w:p>
            <w:r>
              <w:t>Body art practitioner</w:t>
            </w:r>
          </w:p>
        </w:tc>
        <w:tc>
          <w:tcPr>
            <w:tcW w:type="dxa" w:w="7416"/>
            <w:shd w:fill="F4F2EF"/>
            <w:tcMar>
              <w:top w:w="100" w:type="dxa"/>
              <w:start w:w="120" w:type="dxa"/>
              <w:bottom w:w="100" w:type="dxa"/>
              <w:end w:w="120" w:type="dxa"/>
            </w:tcMar>
            <w:vAlign w:val="center"/>
          </w:tcPr>
          <w:p>
            <w:r>
              <w:t>A natural person who performs a regulated body art procedure.</w:t>
            </w:r>
          </w:p>
        </w:tc>
      </w:tr>
      <w:tr>
        <w:trPr>
          <w:cantSplit/>
        </w:trPr>
        <w:tc>
          <w:tcPr>
            <w:tcW w:type="dxa" w:w="2376"/>
            <w:tcMar>
              <w:top w:w="100" w:type="dxa"/>
              <w:start w:w="120" w:type="dxa"/>
              <w:bottom w:w="100" w:type="dxa"/>
              <w:end w:w="120" w:type="dxa"/>
            </w:tcMar>
            <w:vAlign w:val="center"/>
          </w:tcPr>
          <w:p>
            <w:r>
              <w:t>Body art establishment</w:t>
            </w:r>
          </w:p>
        </w:tc>
        <w:tc>
          <w:tcPr>
            <w:tcW w:type="dxa" w:w="7416"/>
            <w:tcMar>
              <w:top w:w="100" w:type="dxa"/>
              <w:start w:w="120" w:type="dxa"/>
              <w:bottom w:w="100" w:type="dxa"/>
              <w:end w:w="120" w:type="dxa"/>
            </w:tcMar>
            <w:vAlign w:val="center"/>
          </w:tcPr>
          <w:p>
            <w:r>
              <w:t>A fixed, mobile or temporary place where a regulated body art procedure is performed.</w:t>
            </w:r>
          </w:p>
        </w:tc>
      </w:tr>
      <w:tr>
        <w:trPr>
          <w:cantSplit/>
        </w:trPr>
        <w:tc>
          <w:tcPr>
            <w:tcW w:type="dxa" w:w="2376"/>
            <w:shd w:fill="F4F2EF"/>
            <w:tcMar>
              <w:top w:w="100" w:type="dxa"/>
              <w:start w:w="120" w:type="dxa"/>
              <w:bottom w:w="100" w:type="dxa"/>
              <w:end w:w="120" w:type="dxa"/>
            </w:tcMar>
            <w:vAlign w:val="center"/>
          </w:tcPr>
          <w:p>
            <w:r>
              <w:t>Critical violation</w:t>
            </w:r>
          </w:p>
        </w:tc>
        <w:tc>
          <w:tcPr>
            <w:tcW w:type="dxa" w:w="7416"/>
            <w:shd w:fill="F4F2EF"/>
            <w:tcMar>
              <w:top w:w="100" w:type="dxa"/>
              <w:start w:w="120" w:type="dxa"/>
              <w:bottom w:w="100" w:type="dxa"/>
              <w:end w:w="120" w:type="dxa"/>
            </w:tcMar>
            <w:vAlign w:val="center"/>
          </w:tcPr>
          <w:p>
            <w:r>
              <w:t>A condition that creates or is reasonably likely to create an imminent or substantial risk of harm and requires prompt control.</w:t>
            </w:r>
          </w:p>
        </w:tc>
      </w:tr>
      <w:tr>
        <w:trPr>
          <w:cantSplit/>
        </w:trPr>
        <w:tc>
          <w:tcPr>
            <w:tcW w:type="dxa" w:w="2376"/>
            <w:tcMar>
              <w:top w:w="100" w:type="dxa"/>
              <w:start w:w="120" w:type="dxa"/>
              <w:bottom w:w="100" w:type="dxa"/>
              <w:end w:w="120" w:type="dxa"/>
            </w:tcMar>
            <w:vAlign w:val="center"/>
          </w:tcPr>
          <w:p>
            <w:r>
              <w:t>Single use</w:t>
            </w:r>
          </w:p>
        </w:tc>
        <w:tc>
          <w:tcPr>
            <w:tcW w:type="dxa" w:w="7416"/>
            <w:tcMar>
              <w:top w:w="100" w:type="dxa"/>
              <w:start w:w="120" w:type="dxa"/>
              <w:bottom w:w="100" w:type="dxa"/>
              <w:end w:w="120" w:type="dxa"/>
            </w:tcMar>
            <w:vAlign w:val="center"/>
          </w:tcPr>
          <w:p>
            <w:r>
              <w:t>Intended for use on one client during one procedure and then discarded safely.</w:t>
            </w:r>
          </w:p>
        </w:tc>
      </w:tr>
      <w:tr>
        <w:trPr>
          <w:cantSplit/>
        </w:trPr>
        <w:tc>
          <w:tcPr>
            <w:tcW w:type="dxa" w:w="2376"/>
            <w:shd w:fill="F4F2EF"/>
            <w:tcMar>
              <w:top w:w="100" w:type="dxa"/>
              <w:start w:w="120" w:type="dxa"/>
              <w:bottom w:w="100" w:type="dxa"/>
              <w:end w:w="120" w:type="dxa"/>
            </w:tcMar>
            <w:vAlign w:val="center"/>
          </w:tcPr>
          <w:p>
            <w:r>
              <w:t>Sterilisation</w:t>
            </w:r>
          </w:p>
        </w:tc>
        <w:tc>
          <w:tcPr>
            <w:tcW w:type="dxa" w:w="7416"/>
            <w:shd w:fill="F4F2EF"/>
            <w:tcMar>
              <w:top w:w="100" w:type="dxa"/>
              <w:start w:w="120" w:type="dxa"/>
              <w:bottom w:w="100" w:type="dxa"/>
              <w:end w:w="120" w:type="dxa"/>
            </w:tcMar>
            <w:vAlign w:val="center"/>
          </w:tcPr>
          <w:p>
            <w:r>
              <w:t>A validated process intended to make a reusable critical item free of viable microorganisms, using the standard adopted by the Authority.</w:t>
            </w:r>
          </w:p>
        </w:tc>
      </w:tr>
      <w:tr>
        <w:trPr>
          <w:cantSplit/>
        </w:trPr>
        <w:tc>
          <w:tcPr>
            <w:tcW w:type="dxa" w:w="2376"/>
            <w:tcMar>
              <w:top w:w="100" w:type="dxa"/>
              <w:start w:w="120" w:type="dxa"/>
              <w:bottom w:w="100" w:type="dxa"/>
              <w:end w:w="120" w:type="dxa"/>
            </w:tcMar>
            <w:vAlign w:val="center"/>
          </w:tcPr>
          <w:p>
            <w:r>
              <w:t>Informed consent</w:t>
            </w:r>
          </w:p>
        </w:tc>
        <w:tc>
          <w:tcPr>
            <w:tcW w:type="dxa" w:w="7416"/>
            <w:tcMar>
              <w:top w:w="100" w:type="dxa"/>
              <w:start w:w="120" w:type="dxa"/>
              <w:bottom w:w="100" w:type="dxa"/>
              <w:end w:w="120" w:type="dxa"/>
            </w:tcMar>
            <w:vAlign w:val="center"/>
          </w:tcPr>
          <w:p>
            <w:r>
              <w:t>A voluntary decision made after understandable information about the procedure, material risks, limitations, alternatives, aftercare and relevant costs has been provided.</w:t>
            </w:r>
          </w:p>
        </w:tc>
      </w:tr>
    </w:tbl>
    <w:p/>
    <w:p>
      <w:pPr>
        <w:pStyle w:val="Heading1"/>
      </w:pPr>
      <w:r>
        <w:t>Part 3  Authorisation and administration</w:t>
      </w:r>
    </w:p>
    <w:p>
      <w:pPr>
        <w:pStyle w:val="Heading2"/>
      </w:pPr>
      <w:r>
        <w:t>3.1  Licence or registration</w:t>
      </w:r>
    </w:p>
    <w:p>
      <w:r>
        <w:t>No person may operate a regulated establishment or perform a regulated activity without each licence, registration or approval required by [ENABLING LAW] and this Regulation.</w:t>
      </w:r>
    </w:p>
    <w:p>
      <w:pPr>
        <w:pStyle w:val="Heading2"/>
      </w:pPr>
      <w:r>
        <w:t>3.2  Application information</w:t>
      </w:r>
    </w:p>
    <w:p>
      <w:r>
        <w:t>An applicant must provide identity and contact details, service scope, premises or event details, responsible-person information, training or competence evidence permitted by law, infection-control arrangements, waste arrangements, insurance information where authorised, and the prescribed fee.</w:t>
      </w:r>
    </w:p>
    <w:p>
      <w:pPr>
        <w:pStyle w:val="Heading2"/>
      </w:pPr>
      <w:r>
        <w:t>3.3  Decision and reasons</w:t>
      </w:r>
    </w:p>
    <w:p>
      <w:r>
        <w:t>The Authority must assess applications against published criteria, provide written reasons for refusal or conditions, identify review or appeal rights, and avoid irrelevant or discriminatory considerations.</w:t>
      </w:r>
    </w:p>
    <w:p>
      <w:pPr>
        <w:pStyle w:val="Heading2"/>
      </w:pPr>
      <w:r>
        <w:t>3.4  Changes and renewal</w:t>
      </w:r>
    </w:p>
    <w:p>
      <w:r>
        <w:t>The holder must notify material changes within [NUMBER] days. Renewal, transfer, suspension and expiry rules must be stated clearly and must preserve any procedural rights required by law.</w:t>
      </w:r>
    </w:p>
    <w:p>
      <w:pPr>
        <w:pStyle w:val="Heading2"/>
      </w:pPr>
      <w:r>
        <w:t>3.5  Temporary and mobile services</w:t>
      </w:r>
    </w:p>
    <w:p>
      <w:r>
        <w:t>Temporary events, guest practitioners and mobile services require a risk-appropriate authorisation pathway addressing site suitability, clean water, hand hygiene, waste, sharps, storage, records and responsible supervision.</w:t>
      </w:r>
    </w:p>
    <w:p>
      <w:pPr>
        <w:pStyle w:val="Heading1"/>
      </w:pPr>
      <w:r>
        <w:t>Part 4  Premises and infection prevention</w:t>
      </w:r>
    </w:p>
    <w:p>
      <w:r>
        <w:rPr>
          <w:b/>
        </w:rPr>
        <w:t xml:space="preserve">4.1  </w:t>
      </w:r>
      <w:r>
        <w:t>Procedure areas must be separated from incompatible activities and arranged so clean and contaminated workflows do not cross unnecessarily.</w:t>
      </w:r>
    </w:p>
    <w:p>
      <w:r>
        <w:rPr>
          <w:b/>
        </w:rPr>
        <w:t xml:space="preserve">4.2  </w:t>
      </w:r>
      <w:r>
        <w:t>Surfaces and furnishings in procedure and reprocessing areas must be intact, non-absorbent where appropriate, cleanable and maintained in good repair.</w:t>
      </w:r>
    </w:p>
    <w:p>
      <w:r>
        <w:rPr>
          <w:b/>
        </w:rPr>
        <w:t xml:space="preserve">4.3  </w:t>
      </w:r>
      <w:r>
        <w:t>Suitable handwashing facilities, supplies and written hand-hygiene procedures must be available and used at the points required by the adopted infection-prevention standard.</w:t>
      </w:r>
    </w:p>
    <w:p>
      <w:r>
        <w:rPr>
          <w:b/>
        </w:rPr>
        <w:t xml:space="preserve">4.4  </w:t>
      </w:r>
      <w:r>
        <w:t>Practitioners must use an aseptic technique appropriate to the procedure, change gloves when contaminated or compromised, and never treat gloves as a substitute for hand hygiene.</w:t>
      </w:r>
    </w:p>
    <w:p>
      <w:r>
        <w:rPr>
          <w:b/>
        </w:rPr>
        <w:t xml:space="preserve">4.5  </w:t>
      </w:r>
      <w:r>
        <w:t>Single-use sharps and other single-use items must not be reused. Sharps must be discarded immediately into compliant containers.</w:t>
      </w:r>
    </w:p>
    <w:p>
      <w:r>
        <w:rPr>
          <w:b/>
        </w:rPr>
        <w:t xml:space="preserve">4.6  </w:t>
      </w:r>
      <w:r>
        <w:t>Reusable critical instruments must be cleaned, packaged, sterilised through a validated process, stored to preserve package integrity and linked to cycle records.</w:t>
      </w:r>
    </w:p>
    <w:p>
      <w:r>
        <w:rPr>
          <w:b/>
        </w:rPr>
        <w:t xml:space="preserve">4.7  </w:t>
      </w:r>
      <w:r>
        <w:t>Environmental cleaning and disinfection products must be lawful, suitable for the intended surface and organism spectrum, and used according to their instructions.</w:t>
      </w:r>
    </w:p>
    <w:p>
      <w:r>
        <w:rPr>
          <w:b/>
        </w:rPr>
        <w:t xml:space="preserve">4.8  </w:t>
      </w:r>
      <w:r>
        <w:t>Written exposure, spill, incident and post-exposure procedures must be available to workers and reviewed after an event.</w:t>
      </w:r>
    </w:p>
    <w:p>
      <w:pPr>
        <w:pStyle w:val="Heading1"/>
      </w:pPr>
      <w:r>
        <w:t>Part 5  Products jewellery and traceability</w:t>
      </w:r>
    </w:p>
    <w:p>
      <w:r>
        <w:rPr>
          <w:b/>
        </w:rPr>
        <w:t xml:space="preserve">5.1  </w:t>
      </w:r>
      <w:r>
        <w:t>Products placed into or through skin or mucosa must be lawful for the intended use and stored to prevent contamination, deterioration and unauthorised substitution.</w:t>
      </w:r>
    </w:p>
    <w:p>
      <w:r>
        <w:rPr>
          <w:b/>
        </w:rPr>
        <w:t xml:space="preserve">5.2  </w:t>
      </w:r>
      <w:r>
        <w:t>Records must identify the manufacturer or supplier, product description, colour or specification where applicable, batch or lot number, expiry where supplied, and the client or procedure to which the product relates.</w:t>
      </w:r>
    </w:p>
    <w:p>
      <w:r>
        <w:rPr>
          <w:b/>
        </w:rPr>
        <w:t xml:space="preserve">5.3  </w:t>
      </w:r>
      <w:r>
        <w:t>Jewellery used for an initial piercing must meet the material, surface-finish, design and sterility criteria adopted by the Authority for the placement and healing stage.</w:t>
      </w:r>
    </w:p>
    <w:p>
      <w:r>
        <w:rPr>
          <w:b/>
        </w:rPr>
        <w:t xml:space="preserve">5.4  </w:t>
      </w:r>
      <w:r>
        <w:t>The operator must maintain a recall procedure capable of identifying affected stock, procedures and clients while respecting privacy law.</w:t>
      </w:r>
    </w:p>
    <w:p>
      <w:pPr>
        <w:pStyle w:val="Heading1"/>
      </w:pPr>
      <w:r>
        <w:t>Part 6  Clients consent safeguarding and aftercare</w:t>
      </w:r>
    </w:p>
    <w:p>
      <w:r>
        <w:rPr>
          <w:b/>
        </w:rPr>
        <w:t xml:space="preserve">6.1  </w:t>
      </w:r>
      <w:r>
        <w:t>Before a procedure, the practitioner must confirm identity and age as required by law and apply the adopted rules for minors, guardianship, capacity and safeguarding.</w:t>
      </w:r>
    </w:p>
    <w:p>
      <w:r>
        <w:rPr>
          <w:b/>
        </w:rPr>
        <w:t xml:space="preserve">6.2  </w:t>
      </w:r>
      <w:r>
        <w:t>The consultation must cover the exact procedure, practitioner scope, foreseeable material risks, limitations, expected healing variation, alternatives, total charges, aftercare and how to seek appropriate help.</w:t>
      </w:r>
    </w:p>
    <w:p>
      <w:r>
        <w:rPr>
          <w:b/>
        </w:rPr>
        <w:t xml:space="preserve">6.3  </w:t>
      </w:r>
      <w:r>
        <w:t>A practitioner must postpone, decline or refer when the procedure would be outside authorised scope, informed consent is absent, or a condition creates a risk the practitioner is not competent or authorised to assess.</w:t>
      </w:r>
    </w:p>
    <w:p>
      <w:r>
        <w:rPr>
          <w:b/>
        </w:rPr>
        <w:t xml:space="preserve">6.4  </w:t>
      </w:r>
      <w:r>
        <w:t>Consent and aftercare information must be understandable and accessible. Consent may be withdrawn before or during a procedure to the extent safely possible.</w:t>
      </w:r>
    </w:p>
    <w:p>
      <w:r>
        <w:rPr>
          <w:b/>
        </w:rPr>
        <w:t xml:space="preserve">6.5  </w:t>
      </w:r>
      <w:r>
        <w:t>No person may make a false or misleading claim about licensing, membership, certification, risk, pain, permanence, healing, sterility or guaranteed results.</w:t>
      </w:r>
    </w:p>
    <w:p>
      <w:pPr>
        <w:pStyle w:val="Heading1"/>
      </w:pPr>
      <w:r>
        <w:t>Part 7  Records privacy and incident reporting</w:t>
      </w:r>
    </w:p>
    <w:p>
      <w:pPr>
        <w:pStyle w:val="Heading2"/>
      </w:pPr>
      <w:r>
        <w:t>7.1  Minimum records</w:t>
      </w:r>
    </w:p>
    <w:p>
      <w:r>
        <w:t>Records should identify the client, practitioner, date, procedure and placement; record consent and aftercare; link relevant products, jewellery and sterilisation records; and record complications known during the service. Collect no information merely because it may be convenient.</w:t>
      </w:r>
    </w:p>
    <w:p>
      <w:pPr>
        <w:pStyle w:val="Heading2"/>
      </w:pPr>
      <w:r>
        <w:t>7.2  Privacy</w:t>
      </w:r>
    </w:p>
    <w:p>
      <w:r>
        <w:t>Personal and health-related information must be collected, accessed, secured, retained, disclosed and destroyed in accordance with applicable privacy, health-record and access-to-information law. The Authority must define a lawful [RETENTION PERIOD].</w:t>
      </w:r>
    </w:p>
    <w:p>
      <w:pPr>
        <w:pStyle w:val="Heading2"/>
      </w:pPr>
      <w:r>
        <w:t>7.3  Incidents</w:t>
      </w:r>
    </w:p>
    <w:p>
      <w:r>
        <w:t>The operator must promptly control and document exposures, suspected contamination, product recalls and adverse events, and notify the Authority or another body when the adopted law requires notification. Reporting rules must define thresholds, timeframes and protections.</w:t>
      </w:r>
    </w:p>
    <w:p>
      <w:pPr>
        <w:pStyle w:val="Heading1"/>
      </w:pPr>
      <w:r>
        <w:t>Part 8  Inspection compliance and procedural fairness</w:t>
      </w:r>
    </w:p>
    <w:p>
      <w:pPr>
        <w:pStyle w:val="Heading2"/>
      </w:pPr>
      <w:r>
        <w:t>8.1  Inspection</w:t>
      </w:r>
    </w:p>
    <w:p>
      <w:r>
        <w:t>Authorised officers may inspect only within powers granted by law. Inspection criteria, evidence handling, confidentiality and officer competence requirements must be documented.</w:t>
      </w:r>
    </w:p>
    <w:p>
      <w:pPr>
        <w:pStyle w:val="Heading2"/>
      </w:pPr>
      <w:r>
        <w:t>8.2  Risk classification</w:t>
      </w:r>
    </w:p>
    <w:p>
      <w:r>
        <w:t>The Authority must distinguish critical conditions requiring immediate control from lower-risk deficiencies that may be corrected within a reasonable period. Decisions must record the observed facts, applicable clause, required action and due date.</w:t>
      </w:r>
    </w:p>
    <w:p>
      <w:pPr>
        <w:pStyle w:val="Heading2"/>
      </w:pPr>
      <w:r>
        <w:t>8.3  Enforcement</w:t>
      </w:r>
    </w:p>
    <w:p>
      <w:r>
        <w:t>Available responses may include education, written direction, conditions, suspension, closure, administrative sanction or referral, but only where authorised and proportionate. Emergency action and ordinary enforcement must follow the applicable notice, hearing, review and appeal requirements.</w:t>
      </w:r>
    </w:p>
    <w:p>
      <w:pPr>
        <w:pStyle w:val="Heading2"/>
      </w:pPr>
      <w:r>
        <w:t>8.4  Publication</w:t>
      </w:r>
    </w:p>
    <w:p>
      <w:r>
        <w:t>If the Authority publishes licence or inspection information, it must define lawful fields, correction routes, publication periods, accessibility and privacy protections. Allegations must not be presented as established findings.</w:t>
      </w:r>
    </w:p>
    <w:p>
      <w:pPr>
        <w:pStyle w:val="Heading1"/>
      </w:pPr>
      <w:r>
        <w:t>Part 9  Implementation review and annexes</w:t>
      </w:r>
    </w:p>
    <w:p>
      <w:pPr>
        <w:pStyle w:val="Heading2"/>
      </w:pPr>
      <w:r>
        <w:t>9.1  Transition</w:t>
      </w:r>
    </w:p>
    <w:p>
      <w:r>
        <w:t>Existing operators receive a [TRANSITION PERIOD] unless immediate controls are lawfully necessary for a critical risk. The Authority should publish guidance and training before enforcement begins.</w:t>
      </w:r>
    </w:p>
    <w:p>
      <w:pPr>
        <w:pStyle w:val="Heading2"/>
      </w:pPr>
      <w:r>
        <w:t>9.2  Review</w:t>
      </w:r>
    </w:p>
    <w:p>
      <w:r>
        <w:t>The Authority will review this Regulation at least every [REVIEW PERIOD] and sooner after material legal change, new evidence, a serious incident or a recurring implementation problem.</w:t>
      </w:r>
    </w:p>
    <w:p>
      <w:pPr>
        <w:pStyle w:val="Heading2"/>
      </w:pPr>
      <w:r>
        <w:t>9.3  Discipline annexes</w:t>
      </w:r>
    </w:p>
    <w:p>
      <w:r>
        <w:t>The Authority should adopt only annexes relevant to locally regulated activities: tattooing; body piercing; permanent makeup and microblading; scalp micropigmentation; removal; restorative or paramedical tattooing; mobile work; and temporary events.</w:t>
      </w:r>
    </w:p>
    <w:p>
      <w:pPr>
        <w:pStyle w:val="Heading1"/>
      </w:pPr>
      <w:r>
        <w:t>Local completion checklist</w:t>
      </w:r>
    </w:p>
    <w:p>
      <w:pPr>
        <w:pStyle w:val="ListBullet"/>
      </w:pPr>
      <w:r>
        <w:t>Confirm legal power and interaction with health, consumer, occupational safety, waste, product, privacy and child-protection law.</w:t>
      </w:r>
    </w:p>
    <w:p>
      <w:pPr>
        <w:pStyle w:val="ListBullet"/>
      </w:pPr>
      <w:r>
        <w:t>Complete a local risk and regulatory-impact assessment.</w:t>
      </w:r>
    </w:p>
    <w:p>
      <w:pPr>
        <w:pStyle w:val="ListBullet"/>
      </w:pPr>
      <w:r>
        <w:t>Consult regulators, practitioners, clients, affected communities, healthcare and infection-prevention expertise, waste services and privacy or safeguarding specialists.</w:t>
      </w:r>
    </w:p>
    <w:p>
      <w:pPr>
        <w:pStyle w:val="ListBullet"/>
      </w:pPr>
      <w:r>
        <w:t>Publish the draft, supporting evidence, conflicts of interest, response analysis and reasons for material changes.</w:t>
      </w:r>
    </w:p>
    <w:p>
      <w:pPr>
        <w:pStyle w:val="ListBullet"/>
      </w:pPr>
      <w:r>
        <w:t>Train inspectors and publish forms, fees, transition dates, review rights and plain-language guidance before commencement.</w:t>
      </w:r>
    </w:p>
    <w:p>
      <w:pPr>
        <w:pStyle w:val="Heading1"/>
      </w:pPr>
      <w:r>
        <w:t>Reference sources</w:t>
      </w:r>
    </w:p>
    <w:p>
      <w:pPr>
        <w:pStyle w:val="ListBullet"/>
      </w:pPr>
      <w:r>
        <w:rPr>
          <w:b/>
        </w:rPr>
        <w:t xml:space="preserve">National Environmental Health Association Body Art Model Code and Annex: </w:t>
      </w:r>
      <w:r>
        <w:t>https://www.neha.org/body-art</w:t>
      </w:r>
    </w:p>
    <w:p>
      <w:pPr>
        <w:pStyle w:val="ListBullet"/>
      </w:pPr>
      <w:r>
        <w:rPr>
          <w:b/>
        </w:rPr>
        <w:t xml:space="preserve">NEHA Body Art Model Code Adoption Toolkit: </w:t>
      </w:r>
      <w:r>
        <w:t>https://www.neha.org/bamc-toolkit</w:t>
      </w:r>
    </w:p>
    <w:p>
      <w:pPr>
        <w:pStyle w:val="ListBullet"/>
      </w:pPr>
      <w:r>
        <w:rPr>
          <w:b/>
        </w:rPr>
        <w:t xml:space="preserve">United States Food and Drug Administration Tattoos Temporary Tattoos and Permanent Makeup: </w:t>
      </w:r>
      <w:r>
        <w:t>https://www.fda.gov/cosmetics/cosmetic-products/tattoos-temporary-tattoos-permanent-makeup</w:t>
      </w:r>
    </w:p>
    <w:p>
      <w:pPr>
        <w:pStyle w:val="ListBullet"/>
      </w:pPr>
      <w:r>
        <w:rPr>
          <w:b/>
        </w:rPr>
        <w:t xml:space="preserve">United Kingdom Health Security Agency Tattooing and body piercing infection prevention and control: </w:t>
      </w:r>
      <w:r>
        <w:t>https://www.gov.uk/guidance/tattooing-and-body-piercing-infection-prevention-and-control</w:t>
      </w:r>
    </w:p>
    <w:p>
      <w:pPr>
        <w:pStyle w:val="ListBullet"/>
      </w:pPr>
      <w:r>
        <w:rPr>
          <w:b/>
        </w:rPr>
        <w:t xml:space="preserve">World Health Organization Guidelines on Hand Hygiene in Health Care: </w:t>
      </w:r>
      <w:r>
        <w:t>https://www.who.int/publications/i/item/9789241597906</w:t>
      </w:r>
    </w:p>
    <w:p>
      <w:pPr>
        <w:pStyle w:val="ListBullet"/>
      </w:pPr>
      <w:r>
        <w:rPr>
          <w:b/>
        </w:rPr>
        <w:t xml:space="preserve">Creative Commons Attribution 4.0 International licence: </w:t>
      </w:r>
      <w:r>
        <w:t>https://creativecommons.org/licenses/by/4.0/</w:t>
      </w:r>
    </w:p>
    <w:p>
      <w:r>
        <w:rPr>
          <w:b/>
        </w:rPr>
        <w:t xml:space="preserve">Source control. </w:t>
      </w:r>
      <w:r>
        <w:t>References are starting points, not universal law. Record the edition and access date used, assess local applicability, and document why each adopted requirement is necessary and proportionate.</w:t>
      </w:r>
    </w:p>
    <w:p>
      <w:pPr>
        <w:pStyle w:val="Heading1"/>
      </w:pPr>
      <w:r>
        <w:t>Licence and attribution</w:t>
      </w:r>
    </w:p>
    <w:p>
      <w:r>
        <w:t>Copyright BAQA. Licensed under Creative Commons Attribution 4.0 International. You may share and adapt this template, including commercially, provided appropriate credit is given, changes are indicated and no endorsement is implied.</w:t>
      </w:r>
    </w:p>
    <w:p>
      <w:r>
        <w:t>Suggested credit: Adapted from the BAQA Model Body Art Regulation Template, version 0.1, baqastandards.com. BAQA membership and use of this template are independent; neither is a government approval or legal permission to practise.</w:t>
      </w:r>
    </w:p>
    <w:sectPr w:rsidR="00FC693F" w:rsidRPr="0006063C" w:rsidSect="00034616">
      <w:footerReference w:type="default" r:id="rId9"/>
      <w:pgSz w:w="12240" w:h="15840"/>
      <w:pgMar w:top="1080" w:right="1181" w:bottom="1037" w:left="118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65D57"/>
        <w:sz w:val="16"/>
      </w:rPr>
      <w:t>BAQA Model Body Art Regulation Template | Free to use and adapt with attribution | baqastandards.com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1E1E1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000000"/>
      <w:sz w:val="3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w:hAnsi="Aptos"/>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280" w:line="240" w:lineRule="auto" w:before="0"/>
      <w:contextualSpacing/>
    </w:pPr>
    <w:rPr>
      <w:rFonts w:asciiTheme="majorHAnsi" w:eastAsiaTheme="majorEastAsia" w:hAnsiTheme="majorHAnsi" w:cstheme="majorBidi" w:ascii="Aptos Display" w:hAnsi="Aptos Display"/>
      <w:b/>
      <w:color w:val="000000"/>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160"/>
    </w:pPr>
    <w:rPr>
      <w:rFonts w:asciiTheme="majorHAnsi" w:eastAsiaTheme="majorEastAsia" w:hAnsiTheme="majorHAnsi" w:cstheme="majorBidi" w:ascii="Aptos" w:hAnsi="Aptos"/>
      <w:i/>
      <w:iCs/>
      <w:color w:val="00000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AQAMetadata">
    <w:name w:val="BAQA Metadata"/>
    <w:pPr>
      <w:spacing w:after="60"/>
    </w:pPr>
    <w:rPr>
      <w:rFonts w:ascii="Aptos" w:hAnsi="Aptos"/>
      <w:color w:val="5A514C"/>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