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Body Art Regulation Adoption and Consultation Pack</w:t>
      </w:r>
    </w:p>
    <w:p>
      <w:pPr>
        <w:pStyle w:val="Subtitle"/>
      </w:pPr>
      <w:r>
        <w:t>Planning tools for transparent evidence-led local rule making</w:t>
      </w:r>
    </w:p>
    <w:p>
      <w:pPr>
        <w:pStyle w:val="BAQAMetadata"/>
      </w:pPr>
      <w:r>
        <w:t>Document BAQA-AUTH-ADOPT-001   Version 0.1   Published 4 September 2026</w:t>
      </w:r>
    </w:p>
    <w:p>
      <w:pPr>
        <w:pStyle w:val="BAQAMetadata"/>
      </w:pPr>
      <w:r>
        <w:t>Status: Free adaptable model for consultation and local legal review</w:t>
      </w:r>
    </w:p>
    <w:p>
      <w:r>
        <w:rPr>
          <w:b/>
        </w:rPr>
        <w:t xml:space="preserve">Important scope. </w:t>
      </w:r>
      <w:r>
        <w:t>This is a non-binding starting point, not legal advice and not a substitute for the legislation, public-health evidence, constitutional duties or rule-making procedure that applies in a jurisdiction. The adopting authority must obtain local legal and technical review, consult affected communities and publish the final evidence and reasons for its decisions.</w:t>
      </w:r>
    </w:p>
    <w:p>
      <w:pPr>
        <w:pStyle w:val="Heading1"/>
      </w:pPr>
      <w:r>
        <w:t>Recommended adoption sequence</w:t>
      </w:r>
    </w:p>
    <w:tbl>
      <w:tblPr>
        <w:tblStyle w:val="TableGrid"/>
        <w:tblW w:type="auto" w:w="0"/>
        <w:jc w:val="center"/>
        <w:tblLook w:firstColumn="1" w:firstRow="1" w:lastColumn="0" w:lastRow="0" w:noHBand="0" w:noVBand="1" w:val="04A0"/>
      </w:tblPr>
      <w:tblGrid>
        <w:gridCol w:w="3293"/>
        <w:gridCol w:w="3293"/>
        <w:gridCol w:w="3293"/>
      </w:tblGrid>
      <w:tr>
        <w:trPr>
          <w:tblHeader w:val="true"/>
        </w:trPr>
        <w:tc>
          <w:tcPr>
            <w:tcW w:type="dxa" w:w="1152"/>
            <w:shd w:fill="332F2D"/>
            <w:tcMar>
              <w:top w:w="100" w:type="dxa"/>
              <w:start w:w="120" w:type="dxa"/>
              <w:bottom w:w="100" w:type="dxa"/>
              <w:end w:w="120" w:type="dxa"/>
            </w:tcMar>
            <w:vAlign w:val="center"/>
          </w:tcPr>
          <w:p>
            <w:pPr>
              <w:jc w:val="left"/>
            </w:pPr>
            <w:r>
              <w:rPr>
                <w:b/>
                <w:color w:val="FFFFFF"/>
              </w:rPr>
              <w:t>Stage</w:t>
            </w:r>
          </w:p>
        </w:tc>
        <w:tc>
          <w:tcPr>
            <w:tcW w:type="dxa" w:w="4608"/>
            <w:shd w:fill="332F2D"/>
            <w:tcMar>
              <w:top w:w="100" w:type="dxa"/>
              <w:start w:w="120" w:type="dxa"/>
              <w:bottom w:w="100" w:type="dxa"/>
              <w:end w:w="120" w:type="dxa"/>
            </w:tcMar>
            <w:vAlign w:val="center"/>
          </w:tcPr>
          <w:p>
            <w:pPr>
              <w:jc w:val="left"/>
            </w:pPr>
            <w:r>
              <w:rPr>
                <w:b/>
                <w:color w:val="FFFFFF"/>
              </w:rPr>
              <w:t>Authority task</w:t>
            </w:r>
          </w:p>
        </w:tc>
        <w:tc>
          <w:tcPr>
            <w:tcW w:type="dxa" w:w="4032"/>
            <w:shd w:fill="332F2D"/>
            <w:tcMar>
              <w:top w:w="100" w:type="dxa"/>
              <w:start w:w="120" w:type="dxa"/>
              <w:bottom w:w="100" w:type="dxa"/>
              <w:end w:w="120" w:type="dxa"/>
            </w:tcMar>
            <w:vAlign w:val="center"/>
          </w:tcPr>
          <w:p>
            <w:pPr>
              <w:jc w:val="left"/>
            </w:pPr>
            <w:r>
              <w:rPr>
                <w:b/>
                <w:color w:val="FFFFFF"/>
              </w:rPr>
              <w:t>Minimum published output</w:t>
            </w:r>
          </w:p>
        </w:tc>
      </w:tr>
      <w:tr>
        <w:trPr>
          <w:cantSplit/>
        </w:trPr>
        <w:tc>
          <w:tcPr>
            <w:tcW w:type="dxa" w:w="1152"/>
            <w:tcMar>
              <w:top w:w="100" w:type="dxa"/>
              <w:start w:w="120" w:type="dxa"/>
              <w:bottom w:w="100" w:type="dxa"/>
              <w:end w:w="120" w:type="dxa"/>
            </w:tcMar>
            <w:vAlign w:val="center"/>
          </w:tcPr>
          <w:p>
            <w:r>
              <w:t>1  Mandate</w:t>
            </w:r>
          </w:p>
        </w:tc>
        <w:tc>
          <w:tcPr>
            <w:tcW w:type="dxa" w:w="4608"/>
            <w:tcMar>
              <w:top w:w="100" w:type="dxa"/>
              <w:start w:w="120" w:type="dxa"/>
              <w:bottom w:w="100" w:type="dxa"/>
              <w:end w:w="120" w:type="dxa"/>
            </w:tcMar>
            <w:vAlign w:val="center"/>
          </w:tcPr>
          <w:p>
            <w:r>
              <w:t>Confirm legal authority, decision maker, scope, resources and governance.</w:t>
            </w:r>
          </w:p>
        </w:tc>
        <w:tc>
          <w:tcPr>
            <w:tcW w:type="dxa" w:w="4032"/>
            <w:tcMar>
              <w:top w:w="100" w:type="dxa"/>
              <w:start w:w="120" w:type="dxa"/>
              <w:bottom w:w="100" w:type="dxa"/>
              <w:end w:w="120" w:type="dxa"/>
            </w:tcMar>
            <w:vAlign w:val="center"/>
          </w:tcPr>
          <w:p>
            <w:r>
              <w:t>Project mandate, conflicts register and contact route.</w:t>
            </w:r>
          </w:p>
        </w:tc>
      </w:tr>
      <w:tr>
        <w:trPr>
          <w:cantSplit/>
        </w:trPr>
        <w:tc>
          <w:tcPr>
            <w:tcW w:type="dxa" w:w="1152"/>
            <w:shd w:fill="F4F2EF"/>
            <w:tcMar>
              <w:top w:w="100" w:type="dxa"/>
              <w:start w:w="120" w:type="dxa"/>
              <w:bottom w:w="100" w:type="dxa"/>
              <w:end w:w="120" w:type="dxa"/>
            </w:tcMar>
            <w:vAlign w:val="center"/>
          </w:tcPr>
          <w:p>
            <w:r>
              <w:t>2  Baseline</w:t>
            </w:r>
          </w:p>
        </w:tc>
        <w:tc>
          <w:tcPr>
            <w:tcW w:type="dxa" w:w="4608"/>
            <w:shd w:fill="F4F2EF"/>
            <w:tcMar>
              <w:top w:w="100" w:type="dxa"/>
              <w:start w:w="120" w:type="dxa"/>
              <w:bottom w:w="100" w:type="dxa"/>
              <w:end w:w="120" w:type="dxa"/>
            </w:tcMar>
            <w:vAlign w:val="center"/>
          </w:tcPr>
          <w:p>
            <w:r>
              <w:t>Map existing law, services, incidents, complaints, workforce and enforcement gaps.</w:t>
            </w:r>
          </w:p>
        </w:tc>
        <w:tc>
          <w:tcPr>
            <w:tcW w:type="dxa" w:w="4032"/>
            <w:shd w:fill="F4F2EF"/>
            <w:tcMar>
              <w:top w:w="100" w:type="dxa"/>
              <w:start w:w="120" w:type="dxa"/>
              <w:bottom w:w="100" w:type="dxa"/>
              <w:end w:w="120" w:type="dxa"/>
            </w:tcMar>
            <w:vAlign w:val="center"/>
          </w:tcPr>
          <w:p>
            <w:r>
              <w:t>Baseline report with limitations and privacy controls.</w:t>
            </w:r>
          </w:p>
        </w:tc>
      </w:tr>
      <w:tr>
        <w:trPr>
          <w:cantSplit/>
        </w:trPr>
        <w:tc>
          <w:tcPr>
            <w:tcW w:type="dxa" w:w="1152"/>
            <w:tcMar>
              <w:top w:w="100" w:type="dxa"/>
              <w:start w:w="120" w:type="dxa"/>
              <w:bottom w:w="100" w:type="dxa"/>
              <w:end w:w="120" w:type="dxa"/>
            </w:tcMar>
            <w:vAlign w:val="center"/>
          </w:tcPr>
          <w:p>
            <w:r>
              <w:t>3  Evidence</w:t>
            </w:r>
          </w:p>
        </w:tc>
        <w:tc>
          <w:tcPr>
            <w:tcW w:type="dxa" w:w="4608"/>
            <w:tcMar>
              <w:top w:w="100" w:type="dxa"/>
              <w:start w:w="120" w:type="dxa"/>
              <w:bottom w:w="100" w:type="dxa"/>
              <w:end w:w="120" w:type="dxa"/>
            </w:tcMar>
            <w:vAlign w:val="center"/>
          </w:tcPr>
          <w:p>
            <w:r>
              <w:t>Review current official guidance and discipline-specific evidence.</w:t>
            </w:r>
          </w:p>
        </w:tc>
        <w:tc>
          <w:tcPr>
            <w:tcW w:type="dxa" w:w="4032"/>
            <w:tcMar>
              <w:top w:w="100" w:type="dxa"/>
              <w:start w:w="120" w:type="dxa"/>
              <w:bottom w:w="100" w:type="dxa"/>
              <w:end w:w="120" w:type="dxa"/>
            </w:tcMar>
            <w:vAlign w:val="center"/>
          </w:tcPr>
          <w:p>
            <w:r>
              <w:t>Clause-to-evidence register with editions and access dates.</w:t>
            </w:r>
          </w:p>
        </w:tc>
      </w:tr>
      <w:tr>
        <w:trPr>
          <w:cantSplit/>
        </w:trPr>
        <w:tc>
          <w:tcPr>
            <w:tcW w:type="dxa" w:w="1152"/>
            <w:shd w:fill="F4F2EF"/>
            <w:tcMar>
              <w:top w:w="100" w:type="dxa"/>
              <w:start w:w="120" w:type="dxa"/>
              <w:bottom w:w="100" w:type="dxa"/>
              <w:end w:w="120" w:type="dxa"/>
            </w:tcMar>
            <w:vAlign w:val="center"/>
          </w:tcPr>
          <w:p>
            <w:r>
              <w:t>4  Co-design</w:t>
            </w:r>
          </w:p>
        </w:tc>
        <w:tc>
          <w:tcPr>
            <w:tcW w:type="dxa" w:w="4608"/>
            <w:shd w:fill="F4F2EF"/>
            <w:tcMar>
              <w:top w:w="100" w:type="dxa"/>
              <w:start w:w="120" w:type="dxa"/>
              <w:bottom w:w="100" w:type="dxa"/>
              <w:end w:w="120" w:type="dxa"/>
            </w:tcMar>
            <w:vAlign w:val="center"/>
          </w:tcPr>
          <w:p>
            <w:r>
              <w:t>Engage public health, legal, inspectors, practitioners, clients and affected groups.</w:t>
            </w:r>
          </w:p>
        </w:tc>
        <w:tc>
          <w:tcPr>
            <w:tcW w:type="dxa" w:w="4032"/>
            <w:shd w:fill="F4F2EF"/>
            <w:tcMar>
              <w:top w:w="100" w:type="dxa"/>
              <w:start w:w="120" w:type="dxa"/>
              <w:bottom w:w="100" w:type="dxa"/>
              <w:end w:w="120" w:type="dxa"/>
            </w:tcMar>
            <w:vAlign w:val="center"/>
          </w:tcPr>
          <w:p>
            <w:r>
              <w:t>Stakeholder map, meeting records and declared interests.</w:t>
            </w:r>
          </w:p>
        </w:tc>
      </w:tr>
      <w:tr>
        <w:trPr>
          <w:cantSplit/>
        </w:trPr>
        <w:tc>
          <w:tcPr>
            <w:tcW w:type="dxa" w:w="1152"/>
            <w:tcMar>
              <w:top w:w="100" w:type="dxa"/>
              <w:start w:w="120" w:type="dxa"/>
              <w:bottom w:w="100" w:type="dxa"/>
              <w:end w:w="120" w:type="dxa"/>
            </w:tcMar>
            <w:vAlign w:val="center"/>
          </w:tcPr>
          <w:p>
            <w:r>
              <w:t>5  Draft</w:t>
            </w:r>
          </w:p>
        </w:tc>
        <w:tc>
          <w:tcPr>
            <w:tcW w:type="dxa" w:w="4608"/>
            <w:tcMar>
              <w:top w:w="100" w:type="dxa"/>
              <w:start w:w="120" w:type="dxa"/>
              <w:bottom w:w="100" w:type="dxa"/>
              <w:end w:w="120" w:type="dxa"/>
            </w:tcMar>
            <w:vAlign w:val="center"/>
          </w:tcPr>
          <w:p>
            <w:r>
              <w:t>Adapt the model, assess alternatives, costs, equality, accessibility and enforceability.</w:t>
            </w:r>
          </w:p>
        </w:tc>
        <w:tc>
          <w:tcPr>
            <w:tcW w:type="dxa" w:w="4032"/>
            <w:tcMar>
              <w:top w:w="100" w:type="dxa"/>
              <w:start w:w="120" w:type="dxa"/>
              <w:bottom w:w="100" w:type="dxa"/>
              <w:end w:w="120" w:type="dxa"/>
            </w:tcMar>
            <w:vAlign w:val="center"/>
          </w:tcPr>
          <w:p>
            <w:r>
              <w:t>Draft instrument, explanatory annex and impact assessment.</w:t>
            </w:r>
          </w:p>
        </w:tc>
      </w:tr>
      <w:tr>
        <w:trPr>
          <w:cantSplit/>
        </w:trPr>
        <w:tc>
          <w:tcPr>
            <w:tcW w:type="dxa" w:w="1152"/>
            <w:shd w:fill="F4F2EF"/>
            <w:tcMar>
              <w:top w:w="100" w:type="dxa"/>
              <w:start w:w="120" w:type="dxa"/>
              <w:bottom w:w="100" w:type="dxa"/>
              <w:end w:w="120" w:type="dxa"/>
            </w:tcMar>
            <w:vAlign w:val="center"/>
          </w:tcPr>
          <w:p>
            <w:r>
              <w:t>6  Consult</w:t>
            </w:r>
          </w:p>
        </w:tc>
        <w:tc>
          <w:tcPr>
            <w:tcW w:type="dxa" w:w="4608"/>
            <w:shd w:fill="F4F2EF"/>
            <w:tcMar>
              <w:top w:w="100" w:type="dxa"/>
              <w:start w:w="120" w:type="dxa"/>
              <w:bottom w:w="100" w:type="dxa"/>
              <w:end w:w="120" w:type="dxa"/>
            </w:tcMar>
            <w:vAlign w:val="center"/>
          </w:tcPr>
          <w:p>
            <w:r>
              <w:t>Publish accessible materials and accept proportionate response formats.</w:t>
            </w:r>
          </w:p>
        </w:tc>
        <w:tc>
          <w:tcPr>
            <w:tcW w:type="dxa" w:w="4032"/>
            <w:shd w:fill="F4F2EF"/>
            <w:tcMar>
              <w:top w:w="100" w:type="dxa"/>
              <w:start w:w="120" w:type="dxa"/>
              <w:bottom w:w="100" w:type="dxa"/>
              <w:end w:w="120" w:type="dxa"/>
            </w:tcMar>
            <w:vAlign w:val="center"/>
          </w:tcPr>
          <w:p>
            <w:r>
              <w:t>Consultation questions, submissions policy and closing date.</w:t>
            </w:r>
          </w:p>
        </w:tc>
      </w:tr>
      <w:tr>
        <w:trPr>
          <w:cantSplit/>
        </w:trPr>
        <w:tc>
          <w:tcPr>
            <w:tcW w:type="dxa" w:w="1152"/>
            <w:tcMar>
              <w:top w:w="100" w:type="dxa"/>
              <w:start w:w="120" w:type="dxa"/>
              <w:bottom w:w="100" w:type="dxa"/>
              <w:end w:w="120" w:type="dxa"/>
            </w:tcMar>
            <w:vAlign w:val="center"/>
          </w:tcPr>
          <w:p>
            <w:r>
              <w:t>7  Decide</w:t>
            </w:r>
          </w:p>
        </w:tc>
        <w:tc>
          <w:tcPr>
            <w:tcW w:type="dxa" w:w="4608"/>
            <w:tcMar>
              <w:top w:w="100" w:type="dxa"/>
              <w:start w:w="120" w:type="dxa"/>
              <w:bottom w:w="100" w:type="dxa"/>
              <w:end w:w="120" w:type="dxa"/>
            </w:tcMar>
            <w:vAlign w:val="center"/>
          </w:tcPr>
          <w:p>
            <w:r>
              <w:t>Analyse responses and record why material proposals changed or remained.</w:t>
            </w:r>
          </w:p>
        </w:tc>
        <w:tc>
          <w:tcPr>
            <w:tcW w:type="dxa" w:w="4032"/>
            <w:tcMar>
              <w:top w:w="100" w:type="dxa"/>
              <w:start w:w="120" w:type="dxa"/>
              <w:bottom w:w="100" w:type="dxa"/>
              <w:end w:w="120" w:type="dxa"/>
            </w:tcMar>
            <w:vAlign w:val="center"/>
          </w:tcPr>
          <w:p>
            <w:r>
              <w:t>Response report, final legal review and decision record.</w:t>
            </w:r>
          </w:p>
        </w:tc>
      </w:tr>
      <w:tr>
        <w:trPr>
          <w:cantSplit/>
        </w:trPr>
        <w:tc>
          <w:tcPr>
            <w:tcW w:type="dxa" w:w="1152"/>
            <w:shd w:fill="F4F2EF"/>
            <w:tcMar>
              <w:top w:w="100" w:type="dxa"/>
              <w:start w:w="120" w:type="dxa"/>
              <w:bottom w:w="100" w:type="dxa"/>
              <w:end w:w="120" w:type="dxa"/>
            </w:tcMar>
            <w:vAlign w:val="center"/>
          </w:tcPr>
          <w:p>
            <w:r>
              <w:t>8  Implement</w:t>
            </w:r>
          </w:p>
        </w:tc>
        <w:tc>
          <w:tcPr>
            <w:tcW w:type="dxa" w:w="4608"/>
            <w:shd w:fill="F4F2EF"/>
            <w:tcMar>
              <w:top w:w="100" w:type="dxa"/>
              <w:start w:w="120" w:type="dxa"/>
              <w:bottom w:w="100" w:type="dxa"/>
              <w:end w:w="120" w:type="dxa"/>
            </w:tcMar>
            <w:vAlign w:val="center"/>
          </w:tcPr>
          <w:p>
            <w:r>
              <w:t>Prepare guidance, systems, fees, training, transition and review routes.</w:t>
            </w:r>
          </w:p>
        </w:tc>
        <w:tc>
          <w:tcPr>
            <w:tcW w:type="dxa" w:w="4032"/>
            <w:shd w:fill="F4F2EF"/>
            <w:tcMar>
              <w:top w:w="100" w:type="dxa"/>
              <w:start w:w="120" w:type="dxa"/>
              <w:bottom w:w="100" w:type="dxa"/>
              <w:end w:w="120" w:type="dxa"/>
            </w:tcMar>
            <w:vAlign w:val="center"/>
          </w:tcPr>
          <w:p>
            <w:r>
              <w:t>Implementation plan and commencement notice.</w:t>
            </w:r>
          </w:p>
        </w:tc>
      </w:tr>
      <w:tr>
        <w:trPr>
          <w:cantSplit/>
        </w:trPr>
        <w:tc>
          <w:tcPr>
            <w:tcW w:type="dxa" w:w="1152"/>
            <w:tcMar>
              <w:top w:w="100" w:type="dxa"/>
              <w:start w:w="120" w:type="dxa"/>
              <w:bottom w:w="100" w:type="dxa"/>
              <w:end w:w="120" w:type="dxa"/>
            </w:tcMar>
            <w:vAlign w:val="center"/>
          </w:tcPr>
          <w:p>
            <w:r>
              <w:t>9  Evaluate</w:t>
            </w:r>
          </w:p>
        </w:tc>
        <w:tc>
          <w:tcPr>
            <w:tcW w:type="dxa" w:w="4608"/>
            <w:tcMar>
              <w:top w:w="100" w:type="dxa"/>
              <w:start w:w="120" w:type="dxa"/>
              <w:bottom w:w="100" w:type="dxa"/>
              <w:end w:w="120" w:type="dxa"/>
            </w:tcMar>
            <w:vAlign w:val="center"/>
          </w:tcPr>
          <w:p>
            <w:r>
              <w:t>Measure implementation, unintended effects, incidents and consistency.</w:t>
            </w:r>
          </w:p>
        </w:tc>
        <w:tc>
          <w:tcPr>
            <w:tcW w:type="dxa" w:w="4032"/>
            <w:tcMar>
              <w:top w:w="100" w:type="dxa"/>
              <w:start w:w="120" w:type="dxa"/>
              <w:bottom w:w="100" w:type="dxa"/>
              <w:end w:w="120" w:type="dxa"/>
            </w:tcMar>
            <w:vAlign w:val="center"/>
          </w:tcPr>
          <w:p>
            <w:r>
              <w:t>Review report and scheduled amendment decision.</w:t>
            </w:r>
          </w:p>
        </w:tc>
      </w:tr>
    </w:tbl>
    <w:p/>
    <w:p>
      <w:pPr>
        <w:pStyle w:val="Heading1"/>
      </w:pPr>
      <w:r>
        <w:t>Stakeholder and independence plan</w:t>
      </w:r>
    </w:p>
    <w:tbl>
      <w:tblPr>
        <w:tblStyle w:val="TableGrid"/>
        <w:tblW w:type="auto" w:w="0"/>
        <w:jc w:val="center"/>
        <w:tblLook w:firstColumn="1" w:firstRow="1" w:lastColumn="0" w:lastRow="0" w:noHBand="0" w:noVBand="1" w:val="04A0"/>
      </w:tblPr>
      <w:tblGrid>
        <w:gridCol w:w="3293"/>
        <w:gridCol w:w="3293"/>
        <w:gridCol w:w="3293"/>
      </w:tblGrid>
      <w:tr>
        <w:trPr>
          <w:tblHeader w:val="true"/>
        </w:trPr>
        <w:tc>
          <w:tcPr>
            <w:tcW w:type="dxa" w:w="2232"/>
            <w:shd w:fill="332F2D"/>
            <w:tcMar>
              <w:top w:w="100" w:type="dxa"/>
              <w:start w:w="120" w:type="dxa"/>
              <w:bottom w:w="100" w:type="dxa"/>
              <w:end w:w="120" w:type="dxa"/>
            </w:tcMar>
            <w:vAlign w:val="center"/>
          </w:tcPr>
          <w:p>
            <w:pPr>
              <w:jc w:val="left"/>
            </w:pPr>
            <w:r>
              <w:rPr>
                <w:b/>
                <w:color w:val="FFFFFF"/>
              </w:rPr>
              <w:t>Perspective</w:t>
            </w:r>
          </w:p>
        </w:tc>
        <w:tc>
          <w:tcPr>
            <w:tcW w:type="dxa" w:w="4536"/>
            <w:shd w:fill="332F2D"/>
            <w:tcMar>
              <w:top w:w="100" w:type="dxa"/>
              <w:start w:w="120" w:type="dxa"/>
              <w:bottom w:w="100" w:type="dxa"/>
              <w:end w:w="120" w:type="dxa"/>
            </w:tcMar>
            <w:vAlign w:val="center"/>
          </w:tcPr>
          <w:p>
            <w:pPr>
              <w:jc w:val="left"/>
            </w:pPr>
            <w:r>
              <w:rPr>
                <w:b/>
                <w:color w:val="FFFFFF"/>
              </w:rPr>
              <w:t>Questions to address</w:t>
            </w:r>
          </w:p>
        </w:tc>
        <w:tc>
          <w:tcPr>
            <w:tcW w:type="dxa" w:w="3024"/>
            <w:shd w:fill="332F2D"/>
            <w:tcMar>
              <w:top w:w="100" w:type="dxa"/>
              <w:start w:w="120" w:type="dxa"/>
              <w:bottom w:w="100" w:type="dxa"/>
              <w:end w:w="120" w:type="dxa"/>
            </w:tcMar>
            <w:vAlign w:val="center"/>
          </w:tcPr>
          <w:p>
            <w:pPr>
              <w:jc w:val="left"/>
            </w:pPr>
            <w:r>
              <w:rPr>
                <w:b/>
                <w:color w:val="FFFFFF"/>
              </w:rPr>
              <w:t>Independence control</w:t>
            </w:r>
          </w:p>
        </w:tc>
      </w:tr>
      <w:tr>
        <w:trPr>
          <w:cantSplit/>
        </w:trPr>
        <w:tc>
          <w:tcPr>
            <w:tcW w:type="dxa" w:w="2232"/>
            <w:tcMar>
              <w:top w:w="100" w:type="dxa"/>
              <w:start w:w="120" w:type="dxa"/>
              <w:bottom w:w="100" w:type="dxa"/>
              <w:end w:w="120" w:type="dxa"/>
            </w:tcMar>
            <w:vAlign w:val="center"/>
          </w:tcPr>
          <w:p>
            <w:r>
              <w:t>Public health and infection prevention</w:t>
            </w:r>
          </w:p>
        </w:tc>
        <w:tc>
          <w:tcPr>
            <w:tcW w:type="dxa" w:w="4536"/>
            <w:tcMar>
              <w:top w:w="100" w:type="dxa"/>
              <w:start w:w="120" w:type="dxa"/>
              <w:bottom w:w="100" w:type="dxa"/>
              <w:end w:w="120" w:type="dxa"/>
            </w:tcMar>
            <w:vAlign w:val="center"/>
          </w:tcPr>
          <w:p>
            <w:r>
              <w:t>Which hazards are material, preventable and inspectable?</w:t>
            </w:r>
          </w:p>
        </w:tc>
        <w:tc>
          <w:tcPr>
            <w:tcW w:type="dxa" w:w="3024"/>
            <w:tcMar>
              <w:top w:w="100" w:type="dxa"/>
              <w:start w:w="120" w:type="dxa"/>
              <w:bottom w:w="100" w:type="dxa"/>
              <w:end w:w="120" w:type="dxa"/>
            </w:tcMar>
            <w:vAlign w:val="center"/>
          </w:tcPr>
          <w:p>
            <w:r>
              <w:t>Record evidence, uncertainty and minority technical views.</w:t>
            </w:r>
          </w:p>
        </w:tc>
      </w:tr>
      <w:tr>
        <w:trPr>
          <w:cantSplit/>
        </w:trPr>
        <w:tc>
          <w:tcPr>
            <w:tcW w:type="dxa" w:w="2232"/>
            <w:shd w:fill="F4F2EF"/>
            <w:tcMar>
              <w:top w:w="100" w:type="dxa"/>
              <w:start w:w="120" w:type="dxa"/>
              <w:bottom w:w="100" w:type="dxa"/>
              <w:end w:w="120" w:type="dxa"/>
            </w:tcMar>
            <w:vAlign w:val="center"/>
          </w:tcPr>
          <w:p>
            <w:r>
              <w:t>Legal and regulatory</w:t>
            </w:r>
          </w:p>
        </w:tc>
        <w:tc>
          <w:tcPr>
            <w:tcW w:type="dxa" w:w="4536"/>
            <w:shd w:fill="F4F2EF"/>
            <w:tcMar>
              <w:top w:w="100" w:type="dxa"/>
              <w:start w:w="120" w:type="dxa"/>
              <w:bottom w:w="100" w:type="dxa"/>
              <w:end w:w="120" w:type="dxa"/>
            </w:tcMar>
            <w:vAlign w:val="center"/>
          </w:tcPr>
          <w:p>
            <w:r>
              <w:t>What power exists and what process, rights and limits apply?</w:t>
            </w:r>
          </w:p>
        </w:tc>
        <w:tc>
          <w:tcPr>
            <w:tcW w:type="dxa" w:w="3024"/>
            <w:shd w:fill="F4F2EF"/>
            <w:tcMar>
              <w:top w:w="100" w:type="dxa"/>
              <w:start w:w="120" w:type="dxa"/>
              <w:bottom w:w="100" w:type="dxa"/>
              <w:end w:w="120" w:type="dxa"/>
            </w:tcMar>
            <w:vAlign w:val="center"/>
          </w:tcPr>
          <w:p>
            <w:r>
              <w:t>Independent local legal review before publication and adoption.</w:t>
            </w:r>
          </w:p>
        </w:tc>
      </w:tr>
      <w:tr>
        <w:trPr>
          <w:cantSplit/>
        </w:trPr>
        <w:tc>
          <w:tcPr>
            <w:tcW w:type="dxa" w:w="2232"/>
            <w:tcMar>
              <w:top w:w="100" w:type="dxa"/>
              <w:start w:w="120" w:type="dxa"/>
              <w:bottom w:w="100" w:type="dxa"/>
              <w:end w:w="120" w:type="dxa"/>
            </w:tcMar>
            <w:vAlign w:val="center"/>
          </w:tcPr>
          <w:p>
            <w:r>
              <w:t>Practitioners and studios</w:t>
            </w:r>
          </w:p>
        </w:tc>
        <w:tc>
          <w:tcPr>
            <w:tcW w:type="dxa" w:w="4536"/>
            <w:tcMar>
              <w:top w:w="100" w:type="dxa"/>
              <w:start w:w="120" w:type="dxa"/>
              <w:bottom w:w="100" w:type="dxa"/>
              <w:end w:w="120" w:type="dxa"/>
            </w:tcMar>
            <w:vAlign w:val="center"/>
          </w:tcPr>
          <w:p>
            <w:r>
              <w:t>How will controls work across disciplines, business sizes and settings?</w:t>
            </w:r>
          </w:p>
        </w:tc>
        <w:tc>
          <w:tcPr>
            <w:tcW w:type="dxa" w:w="3024"/>
            <w:tcMar>
              <w:top w:w="100" w:type="dxa"/>
              <w:start w:w="120" w:type="dxa"/>
              <w:bottom w:w="100" w:type="dxa"/>
              <w:end w:w="120" w:type="dxa"/>
            </w:tcMar>
            <w:vAlign w:val="center"/>
          </w:tcPr>
          <w:p>
            <w:r>
              <w:t>Diverse selection; no single association speaks for the whole sector.</w:t>
            </w:r>
          </w:p>
        </w:tc>
      </w:tr>
      <w:tr>
        <w:trPr>
          <w:cantSplit/>
        </w:trPr>
        <w:tc>
          <w:tcPr>
            <w:tcW w:type="dxa" w:w="2232"/>
            <w:shd w:fill="F4F2EF"/>
            <w:tcMar>
              <w:top w:w="100" w:type="dxa"/>
              <w:start w:w="120" w:type="dxa"/>
              <w:bottom w:w="100" w:type="dxa"/>
              <w:end w:w="120" w:type="dxa"/>
            </w:tcMar>
            <w:vAlign w:val="center"/>
          </w:tcPr>
          <w:p>
            <w:r>
              <w:t>Clients and affected communities</w:t>
            </w:r>
          </w:p>
        </w:tc>
        <w:tc>
          <w:tcPr>
            <w:tcW w:type="dxa" w:w="4536"/>
            <w:shd w:fill="F4F2EF"/>
            <w:tcMar>
              <w:top w:w="100" w:type="dxa"/>
              <w:start w:w="120" w:type="dxa"/>
              <w:bottom w:w="100" w:type="dxa"/>
              <w:end w:w="120" w:type="dxa"/>
            </w:tcMar>
            <w:vAlign w:val="center"/>
          </w:tcPr>
          <w:p>
            <w:r>
              <w:t>Are consent, privacy, accessibility, culture and complaints addressed?</w:t>
            </w:r>
          </w:p>
        </w:tc>
        <w:tc>
          <w:tcPr>
            <w:tcW w:type="dxa" w:w="3024"/>
            <w:shd w:fill="F4F2EF"/>
            <w:tcMar>
              <w:top w:w="100" w:type="dxa"/>
              <w:start w:w="120" w:type="dxa"/>
              <w:bottom w:w="100" w:type="dxa"/>
              <w:end w:w="120" w:type="dxa"/>
            </w:tcMar>
            <w:vAlign w:val="center"/>
          </w:tcPr>
          <w:p>
            <w:r>
              <w:t>Provide accessible participation and do not require industry affiliation.</w:t>
            </w:r>
          </w:p>
        </w:tc>
      </w:tr>
      <w:tr>
        <w:trPr>
          <w:cantSplit/>
        </w:trPr>
        <w:tc>
          <w:tcPr>
            <w:tcW w:type="dxa" w:w="2232"/>
            <w:tcMar>
              <w:top w:w="100" w:type="dxa"/>
              <w:start w:w="120" w:type="dxa"/>
              <w:bottom w:w="100" w:type="dxa"/>
              <w:end w:w="120" w:type="dxa"/>
            </w:tcMar>
            <w:vAlign w:val="center"/>
          </w:tcPr>
          <w:p>
            <w:r>
              <w:t>Inspectors and administrators</w:t>
            </w:r>
          </w:p>
        </w:tc>
        <w:tc>
          <w:tcPr>
            <w:tcW w:type="dxa" w:w="4536"/>
            <w:tcMar>
              <w:top w:w="100" w:type="dxa"/>
              <w:start w:w="120" w:type="dxa"/>
              <w:bottom w:w="100" w:type="dxa"/>
              <w:end w:w="120" w:type="dxa"/>
            </w:tcMar>
            <w:vAlign w:val="center"/>
          </w:tcPr>
          <w:p>
            <w:r>
              <w:t>Can requirements be observed, recorded and enforced consistently?</w:t>
            </w:r>
          </w:p>
        </w:tc>
        <w:tc>
          <w:tcPr>
            <w:tcW w:type="dxa" w:w="3024"/>
            <w:tcMar>
              <w:top w:w="100" w:type="dxa"/>
              <w:start w:w="120" w:type="dxa"/>
              <w:bottom w:w="100" w:type="dxa"/>
              <w:end w:w="120" w:type="dxa"/>
            </w:tcMar>
            <w:vAlign w:val="center"/>
          </w:tcPr>
          <w:p>
            <w:r>
              <w:t>Pilot tools, calibrate decisions and separate advice from violations.</w:t>
            </w:r>
          </w:p>
        </w:tc>
      </w:tr>
      <w:tr>
        <w:trPr>
          <w:cantSplit/>
        </w:trPr>
        <w:tc>
          <w:tcPr>
            <w:tcW w:type="dxa" w:w="2232"/>
            <w:shd w:fill="F4F2EF"/>
            <w:tcMar>
              <w:top w:w="100" w:type="dxa"/>
              <w:start w:w="120" w:type="dxa"/>
              <w:bottom w:w="100" w:type="dxa"/>
              <w:end w:w="120" w:type="dxa"/>
            </w:tcMar>
            <w:vAlign w:val="center"/>
          </w:tcPr>
          <w:p>
            <w:r>
              <w:t>Product waste and occupational specialists</w:t>
            </w:r>
          </w:p>
        </w:tc>
        <w:tc>
          <w:tcPr>
            <w:tcW w:type="dxa" w:w="4536"/>
            <w:shd w:fill="F4F2EF"/>
            <w:tcMar>
              <w:top w:w="100" w:type="dxa"/>
              <w:start w:w="120" w:type="dxa"/>
              <w:bottom w:w="100" w:type="dxa"/>
              <w:end w:w="120" w:type="dxa"/>
            </w:tcMar>
            <w:vAlign w:val="center"/>
          </w:tcPr>
          <w:p>
            <w:r>
              <w:t>How do product, sharps, waste and worker-safety laws interact?</w:t>
            </w:r>
          </w:p>
        </w:tc>
        <w:tc>
          <w:tcPr>
            <w:tcW w:type="dxa" w:w="3024"/>
            <w:shd w:fill="F4F2EF"/>
            <w:tcMar>
              <w:top w:w="100" w:type="dxa"/>
              <w:start w:w="120" w:type="dxa"/>
              <w:bottom w:w="100" w:type="dxa"/>
              <w:end w:w="120" w:type="dxa"/>
            </w:tcMar>
            <w:vAlign w:val="center"/>
          </w:tcPr>
          <w:p>
            <w:r>
              <w:t>Cite the responsible authority and avoid duplicating conflicting rules.</w:t>
            </w:r>
          </w:p>
        </w:tc>
      </w:tr>
    </w:tbl>
    <w:p/>
    <w:p>
      <w:pPr>
        <w:pStyle w:val="Heading1"/>
      </w:pPr>
      <w:r>
        <w:t>Consultation questions</w:t>
      </w:r>
    </w:p>
    <w:p>
      <w:pPr>
        <w:pStyle w:val="ListNumber"/>
      </w:pPr>
      <w:r>
        <w:t>Which activities and settings should be included or excluded, and what legal and risk evidence supports that view?</w:t>
      </w:r>
    </w:p>
    <w:p>
      <w:pPr>
        <w:pStyle w:val="ListNumber"/>
      </w:pPr>
      <w:r>
        <w:t>Which hazards require enforceable controls, and which outcomes could be achieved through guidance or education?</w:t>
      </w:r>
    </w:p>
    <w:p>
      <w:pPr>
        <w:pStyle w:val="ListNumber"/>
      </w:pPr>
      <w:r>
        <w:t>Are practitioner and premises requirements proportionate, accessible and capable of consistent assessment?</w:t>
      </w:r>
    </w:p>
    <w:p>
      <w:pPr>
        <w:pStyle w:val="ListNumber"/>
      </w:pPr>
      <w:r>
        <w:t>How should the proposal address minors, capacity, cultural practice, privacy, disability and language access?</w:t>
      </w:r>
    </w:p>
    <w:p>
      <w:pPr>
        <w:pStyle w:val="ListNumber"/>
      </w:pPr>
      <w:r>
        <w:t>Are record, traceability, incident-reporting and retention duties necessary and compatible with privacy law?</w:t>
      </w:r>
    </w:p>
    <w:p>
      <w:pPr>
        <w:pStyle w:val="ListNumber"/>
      </w:pPr>
      <w:r>
        <w:t>Can temporary events, mobile services, guest work and new techniques be handled without creating avoidable loopholes?</w:t>
      </w:r>
    </w:p>
    <w:p>
      <w:pPr>
        <w:pStyle w:val="ListNumber"/>
      </w:pPr>
      <w:r>
        <w:t>What transition period, fees, inspector capacity, training and digital systems are required?</w:t>
      </w:r>
    </w:p>
    <w:p>
      <w:pPr>
        <w:pStyle w:val="ListNumber"/>
      </w:pPr>
      <w:r>
        <w:t>What review, appeal, complaint and correction routes are necessary for procedural fairness?</w:t>
      </w:r>
    </w:p>
    <w:p>
      <w:pPr>
        <w:pStyle w:val="ListNumber"/>
      </w:pPr>
      <w:r>
        <w:t>What data should be used to evaluate effectiveness without encouraging unnecessary surveillance or collection?</w:t>
      </w:r>
    </w:p>
    <w:p>
      <w:pPr>
        <w:pStyle w:val="ListNumber"/>
      </w:pPr>
      <w:r>
        <w:t>Are any third-party credentials referenced? If so, are criteria objective, non-exclusive, current and independently verifiable?</w:t>
      </w:r>
    </w:p>
    <w:p>
      <w:pPr>
        <w:pStyle w:val="Heading1"/>
      </w:pPr>
      <w:r>
        <w:t>Clause to evidence register</w:t>
      </w:r>
    </w:p>
    <w:tbl>
      <w:tblPr>
        <w:tblStyle w:val="TableGrid"/>
        <w:tblW w:type="auto" w:w="0"/>
        <w:jc w:val="center"/>
        <w:tblLook w:firstColumn="1" w:firstRow="1" w:lastColumn="0" w:lastRow="0" w:noHBand="0" w:noVBand="1" w:val="04A0"/>
      </w:tblPr>
      <w:tblGrid>
        <w:gridCol w:w="1646"/>
        <w:gridCol w:w="1646"/>
        <w:gridCol w:w="1646"/>
        <w:gridCol w:w="1646"/>
        <w:gridCol w:w="1646"/>
        <w:gridCol w:w="1646"/>
      </w:tblGrid>
      <w:tr>
        <w:trPr>
          <w:tblHeader w:val="true"/>
        </w:trPr>
        <w:tc>
          <w:tcPr>
            <w:tcW w:type="dxa" w:w="1008"/>
            <w:shd w:fill="332F2D"/>
            <w:tcMar>
              <w:top w:w="100" w:type="dxa"/>
              <w:start w:w="120" w:type="dxa"/>
              <w:bottom w:w="100" w:type="dxa"/>
              <w:end w:w="120" w:type="dxa"/>
            </w:tcMar>
            <w:vAlign w:val="center"/>
          </w:tcPr>
          <w:p>
            <w:pPr>
              <w:jc w:val="left"/>
            </w:pPr>
            <w:r>
              <w:rPr>
                <w:b/>
                <w:color w:val="FFFFFF"/>
              </w:rPr>
              <w:t>Draft clause</w:t>
            </w:r>
          </w:p>
        </w:tc>
        <w:tc>
          <w:tcPr>
            <w:tcW w:type="dxa" w:w="1800"/>
            <w:shd w:fill="332F2D"/>
            <w:tcMar>
              <w:top w:w="100" w:type="dxa"/>
              <w:start w:w="120" w:type="dxa"/>
              <w:bottom w:w="100" w:type="dxa"/>
              <w:end w:w="120" w:type="dxa"/>
            </w:tcMar>
            <w:vAlign w:val="center"/>
          </w:tcPr>
          <w:p>
            <w:pPr>
              <w:jc w:val="left"/>
            </w:pPr>
            <w:r>
              <w:rPr>
                <w:b/>
                <w:color w:val="FFFFFF"/>
              </w:rPr>
              <w:t>Risk or objective</w:t>
            </w:r>
          </w:p>
        </w:tc>
        <w:tc>
          <w:tcPr>
            <w:tcW w:type="dxa" w:w="1944"/>
            <w:shd w:fill="332F2D"/>
            <w:tcMar>
              <w:top w:w="100" w:type="dxa"/>
              <w:start w:w="120" w:type="dxa"/>
              <w:bottom w:w="100" w:type="dxa"/>
              <w:end w:w="120" w:type="dxa"/>
            </w:tcMar>
            <w:vAlign w:val="center"/>
          </w:tcPr>
          <w:p>
            <w:pPr>
              <w:jc w:val="left"/>
            </w:pPr>
            <w:r>
              <w:rPr>
                <w:b/>
                <w:color w:val="FFFFFF"/>
              </w:rPr>
              <w:t>Evidence and edition</w:t>
            </w:r>
          </w:p>
        </w:tc>
        <w:tc>
          <w:tcPr>
            <w:tcW w:type="dxa" w:w="1584"/>
            <w:shd w:fill="332F2D"/>
            <w:tcMar>
              <w:top w:w="100" w:type="dxa"/>
              <w:start w:w="120" w:type="dxa"/>
              <w:bottom w:w="100" w:type="dxa"/>
              <w:end w:w="120" w:type="dxa"/>
            </w:tcMar>
            <w:vAlign w:val="center"/>
          </w:tcPr>
          <w:p>
            <w:pPr>
              <w:jc w:val="left"/>
            </w:pPr>
            <w:r>
              <w:rPr>
                <w:b/>
                <w:color w:val="FFFFFF"/>
              </w:rPr>
              <w:t>Local applicability</w:t>
            </w:r>
          </w:p>
        </w:tc>
        <w:tc>
          <w:tcPr>
            <w:tcW w:type="dxa" w:w="1728"/>
            <w:shd w:fill="332F2D"/>
            <w:tcMar>
              <w:top w:w="100" w:type="dxa"/>
              <w:start w:w="120" w:type="dxa"/>
              <w:bottom w:w="100" w:type="dxa"/>
              <w:end w:w="120" w:type="dxa"/>
            </w:tcMar>
            <w:vAlign w:val="center"/>
          </w:tcPr>
          <w:p>
            <w:pPr>
              <w:jc w:val="left"/>
            </w:pPr>
            <w:r>
              <w:rPr>
                <w:b/>
                <w:color w:val="FFFFFF"/>
              </w:rPr>
              <w:t>Alternative considered</w:t>
            </w:r>
          </w:p>
        </w:tc>
        <w:tc>
          <w:tcPr>
            <w:tcW w:type="dxa" w:w="1728"/>
            <w:shd w:fill="332F2D"/>
            <w:tcMar>
              <w:top w:w="100" w:type="dxa"/>
              <w:start w:w="120" w:type="dxa"/>
              <w:bottom w:w="100" w:type="dxa"/>
              <w:end w:w="120" w:type="dxa"/>
            </w:tcMar>
            <w:vAlign w:val="center"/>
          </w:tcPr>
          <w:p>
            <w:pPr>
              <w:jc w:val="left"/>
            </w:pPr>
            <w:r>
              <w:rPr>
                <w:b/>
                <w:color w:val="FFFFFF"/>
              </w:rPr>
              <w:t>Decision and reviewer</w:t>
            </w:r>
          </w:p>
        </w:tc>
      </w:tr>
      <w:tr>
        <w:trPr>
          <w:cantSplit/>
        </w:trPr>
        <w:tc>
          <w:tcPr>
            <w:tcW w:type="dxa" w:w="1008"/>
            <w:tcMar>
              <w:top w:w="100" w:type="dxa"/>
              <w:start w:w="120" w:type="dxa"/>
              <w:bottom w:w="100" w:type="dxa"/>
              <w:end w:w="120" w:type="dxa"/>
            </w:tcMar>
            <w:vAlign w:val="center"/>
          </w:tcPr>
          <w:p>
            <w:r>
              <w:t>[CLAUSE]</w:t>
            </w:r>
          </w:p>
        </w:tc>
        <w:tc>
          <w:tcPr>
            <w:tcW w:type="dxa" w:w="1800"/>
            <w:tcMar>
              <w:top w:w="100" w:type="dxa"/>
              <w:start w:w="120" w:type="dxa"/>
              <w:bottom w:w="100" w:type="dxa"/>
              <w:end w:w="120" w:type="dxa"/>
            </w:tcMar>
            <w:vAlign w:val="center"/>
          </w:tcPr>
          <w:p>
            <w:r>
              <w:t>[RISK]</w:t>
            </w:r>
          </w:p>
        </w:tc>
        <w:tc>
          <w:tcPr>
            <w:tcW w:type="dxa" w:w="1944"/>
            <w:tcMar>
              <w:top w:w="100" w:type="dxa"/>
              <w:start w:w="120" w:type="dxa"/>
              <w:bottom w:w="100" w:type="dxa"/>
              <w:end w:w="120" w:type="dxa"/>
            </w:tcMar>
            <w:vAlign w:val="center"/>
          </w:tcPr>
          <w:p>
            <w:r>
              <w:t>[SOURCE DATE]</w:t>
            </w:r>
          </w:p>
        </w:tc>
        <w:tc>
          <w:tcPr>
            <w:tcW w:type="dxa" w:w="1584"/>
            <w:tcMar>
              <w:top w:w="100" w:type="dxa"/>
              <w:start w:w="120" w:type="dxa"/>
              <w:bottom w:w="100" w:type="dxa"/>
              <w:end w:w="120" w:type="dxa"/>
            </w:tcMar>
            <w:vAlign w:val="center"/>
          </w:tcPr>
          <w:p>
            <w:r>
              <w:t>[HIGH MEDIUM LOW]</w:t>
            </w:r>
          </w:p>
        </w:tc>
        <w:tc>
          <w:tcPr>
            <w:tcW w:type="dxa" w:w="1728"/>
            <w:tcMar>
              <w:top w:w="100" w:type="dxa"/>
              <w:start w:w="120" w:type="dxa"/>
              <w:bottom w:w="100" w:type="dxa"/>
              <w:end w:w="120" w:type="dxa"/>
            </w:tcMar>
            <w:vAlign w:val="center"/>
          </w:tcPr>
          <w:p>
            <w:r>
              <w:t>[OPTION]</w:t>
            </w:r>
          </w:p>
        </w:tc>
        <w:tc>
          <w:tcPr>
            <w:tcW w:type="dxa" w:w="1728"/>
            <w:tcMar>
              <w:top w:w="100" w:type="dxa"/>
              <w:start w:w="120" w:type="dxa"/>
              <w:bottom w:w="100" w:type="dxa"/>
              <w:end w:w="120" w:type="dxa"/>
            </w:tcMar>
            <w:vAlign w:val="center"/>
          </w:tcPr>
          <w:p>
            <w:r>
              <w:t>[REASON NAME DATE]</w:t>
            </w:r>
          </w:p>
        </w:tc>
      </w:tr>
      <w:tr>
        <w:trPr>
          <w:cantSplit/>
        </w:trPr>
        <w:tc>
          <w:tcPr>
            <w:tcW w:type="dxa" w:w="1008"/>
            <w:shd w:fill="F4F2EF"/>
            <w:tcMar>
              <w:top w:w="100" w:type="dxa"/>
              <w:start w:w="120" w:type="dxa"/>
              <w:bottom w:w="100" w:type="dxa"/>
              <w:end w:w="120" w:type="dxa"/>
            </w:tcMar>
            <w:vAlign w:val="center"/>
          </w:tcPr>
          <w:p>
            <w:r>
              <w:t>[CLAUSE]</w:t>
            </w:r>
          </w:p>
        </w:tc>
        <w:tc>
          <w:tcPr>
            <w:tcW w:type="dxa" w:w="1800"/>
            <w:shd w:fill="F4F2EF"/>
            <w:tcMar>
              <w:top w:w="100" w:type="dxa"/>
              <w:start w:w="120" w:type="dxa"/>
              <w:bottom w:w="100" w:type="dxa"/>
              <w:end w:w="120" w:type="dxa"/>
            </w:tcMar>
            <w:vAlign w:val="center"/>
          </w:tcPr>
          <w:p>
            <w:r>
              <w:t>[RISK]</w:t>
            </w:r>
          </w:p>
        </w:tc>
        <w:tc>
          <w:tcPr>
            <w:tcW w:type="dxa" w:w="1944"/>
            <w:shd w:fill="F4F2EF"/>
            <w:tcMar>
              <w:top w:w="100" w:type="dxa"/>
              <w:start w:w="120" w:type="dxa"/>
              <w:bottom w:w="100" w:type="dxa"/>
              <w:end w:w="120" w:type="dxa"/>
            </w:tcMar>
            <w:vAlign w:val="center"/>
          </w:tcPr>
          <w:p>
            <w:r>
              <w:t>[SOURCE DATE]</w:t>
            </w:r>
          </w:p>
        </w:tc>
        <w:tc>
          <w:tcPr>
            <w:tcW w:type="dxa" w:w="1584"/>
            <w:shd w:fill="F4F2EF"/>
            <w:tcMar>
              <w:top w:w="100" w:type="dxa"/>
              <w:start w:w="120" w:type="dxa"/>
              <w:bottom w:w="100" w:type="dxa"/>
              <w:end w:w="120" w:type="dxa"/>
            </w:tcMar>
            <w:vAlign w:val="center"/>
          </w:tcPr>
          <w:p>
            <w:r>
              <w:t>[HIGH MEDIUM LOW]</w:t>
            </w:r>
          </w:p>
        </w:tc>
        <w:tc>
          <w:tcPr>
            <w:tcW w:type="dxa" w:w="1728"/>
            <w:shd w:fill="F4F2EF"/>
            <w:tcMar>
              <w:top w:w="100" w:type="dxa"/>
              <w:start w:w="120" w:type="dxa"/>
              <w:bottom w:w="100" w:type="dxa"/>
              <w:end w:w="120" w:type="dxa"/>
            </w:tcMar>
            <w:vAlign w:val="center"/>
          </w:tcPr>
          <w:p>
            <w:r>
              <w:t>[OPTION]</w:t>
            </w:r>
          </w:p>
        </w:tc>
        <w:tc>
          <w:tcPr>
            <w:tcW w:type="dxa" w:w="1728"/>
            <w:shd w:fill="F4F2EF"/>
            <w:tcMar>
              <w:top w:w="100" w:type="dxa"/>
              <w:start w:w="120" w:type="dxa"/>
              <w:bottom w:w="100" w:type="dxa"/>
              <w:end w:w="120" w:type="dxa"/>
            </w:tcMar>
            <w:vAlign w:val="center"/>
          </w:tcPr>
          <w:p>
            <w:r>
              <w:t>[REASON NAME DATE]</w:t>
            </w:r>
          </w:p>
        </w:tc>
      </w:tr>
      <w:tr>
        <w:trPr>
          <w:cantSplit/>
        </w:trPr>
        <w:tc>
          <w:tcPr>
            <w:tcW w:type="dxa" w:w="1008"/>
            <w:tcMar>
              <w:top w:w="100" w:type="dxa"/>
              <w:start w:w="120" w:type="dxa"/>
              <w:bottom w:w="100" w:type="dxa"/>
              <w:end w:w="120" w:type="dxa"/>
            </w:tcMar>
            <w:vAlign w:val="center"/>
          </w:tcPr>
          <w:p>
            <w:r>
              <w:t>[CLAUSE]</w:t>
            </w:r>
          </w:p>
        </w:tc>
        <w:tc>
          <w:tcPr>
            <w:tcW w:type="dxa" w:w="1800"/>
            <w:tcMar>
              <w:top w:w="100" w:type="dxa"/>
              <w:start w:w="120" w:type="dxa"/>
              <w:bottom w:w="100" w:type="dxa"/>
              <w:end w:w="120" w:type="dxa"/>
            </w:tcMar>
            <w:vAlign w:val="center"/>
          </w:tcPr>
          <w:p>
            <w:r>
              <w:t>[RISK]</w:t>
            </w:r>
          </w:p>
        </w:tc>
        <w:tc>
          <w:tcPr>
            <w:tcW w:type="dxa" w:w="1944"/>
            <w:tcMar>
              <w:top w:w="100" w:type="dxa"/>
              <w:start w:w="120" w:type="dxa"/>
              <w:bottom w:w="100" w:type="dxa"/>
              <w:end w:w="120" w:type="dxa"/>
            </w:tcMar>
            <w:vAlign w:val="center"/>
          </w:tcPr>
          <w:p>
            <w:r>
              <w:t>[SOURCE DATE]</w:t>
            </w:r>
          </w:p>
        </w:tc>
        <w:tc>
          <w:tcPr>
            <w:tcW w:type="dxa" w:w="1584"/>
            <w:tcMar>
              <w:top w:w="100" w:type="dxa"/>
              <w:start w:w="120" w:type="dxa"/>
              <w:bottom w:w="100" w:type="dxa"/>
              <w:end w:w="120" w:type="dxa"/>
            </w:tcMar>
            <w:vAlign w:val="center"/>
          </w:tcPr>
          <w:p>
            <w:r>
              <w:t>[HIGH MEDIUM LOW]</w:t>
            </w:r>
          </w:p>
        </w:tc>
        <w:tc>
          <w:tcPr>
            <w:tcW w:type="dxa" w:w="1728"/>
            <w:tcMar>
              <w:top w:w="100" w:type="dxa"/>
              <w:start w:w="120" w:type="dxa"/>
              <w:bottom w:w="100" w:type="dxa"/>
              <w:end w:w="120" w:type="dxa"/>
            </w:tcMar>
            <w:vAlign w:val="center"/>
          </w:tcPr>
          <w:p>
            <w:r>
              <w:t>[OPTION]</w:t>
            </w:r>
          </w:p>
        </w:tc>
        <w:tc>
          <w:tcPr>
            <w:tcW w:type="dxa" w:w="1728"/>
            <w:tcMar>
              <w:top w:w="100" w:type="dxa"/>
              <w:start w:w="120" w:type="dxa"/>
              <w:bottom w:w="100" w:type="dxa"/>
              <w:end w:w="120" w:type="dxa"/>
            </w:tcMar>
            <w:vAlign w:val="center"/>
          </w:tcPr>
          <w:p>
            <w:r>
              <w:t>[REASON NAME DATE]</w:t>
            </w:r>
          </w:p>
        </w:tc>
      </w:tr>
    </w:tbl>
    <w:p/>
    <w:p>
      <w:pPr>
        <w:pStyle w:val="Heading1"/>
      </w:pPr>
      <w:r>
        <w:t>Regulatory impact prompts</w:t>
      </w:r>
    </w:p>
    <w:p>
      <w:pPr>
        <w:pStyle w:val="ListBullet"/>
      </w:pPr>
      <w:r>
        <w:t>Problem and baseline: define the harm, affected population, data quality and consequences of taking no action.</w:t>
      </w:r>
    </w:p>
    <w:p>
      <w:pPr>
        <w:pStyle w:val="ListBullet"/>
      </w:pPr>
      <w:r>
        <w:t>Options: compare education, voluntary guidance, licensing, inspection, product controls and combinations.</w:t>
      </w:r>
    </w:p>
    <w:p>
      <w:pPr>
        <w:pStyle w:val="ListBullet"/>
      </w:pPr>
      <w:r>
        <w:t>Benefits and burdens: consider clients, small and mobile businesses, rural services, enforcement teams and legitimate cultural practice.</w:t>
      </w:r>
    </w:p>
    <w:p>
      <w:pPr>
        <w:pStyle w:val="ListBullet"/>
      </w:pPr>
      <w:r>
        <w:t>Equality and accessibility: assess whether requirements create unjustified barriers or exclude participation and information access.</w:t>
      </w:r>
    </w:p>
    <w:p>
      <w:pPr>
        <w:pStyle w:val="ListBullet"/>
      </w:pPr>
      <w:r>
        <w:t>Privacy: specify each data field, lawful purpose, access, sharing, publication, retention and correction route.</w:t>
      </w:r>
    </w:p>
    <w:p>
      <w:pPr>
        <w:pStyle w:val="ListBullet"/>
      </w:pPr>
      <w:r>
        <w:t>Implementation: estimate staffing, training, inspection time, laboratory or sterilisation expertise, systems and communication needs.</w:t>
      </w:r>
    </w:p>
    <w:p>
      <w:pPr>
        <w:pStyle w:val="ListBullet"/>
      </w:pPr>
      <w:r>
        <w:t>Unintended effects: consider displacement to unregulated settings, misleading credential markets, inequitable fees and inconsistent enforcement.</w:t>
      </w:r>
    </w:p>
    <w:p>
      <w:pPr>
        <w:pStyle w:val="ListBullet"/>
      </w:pPr>
      <w:r>
        <w:t>Evaluation: define measurable outcomes, review dates and triggers for urgent amendment.</w:t>
      </w:r>
    </w:p>
    <w:p>
      <w:pPr>
        <w:pStyle w:val="Heading1"/>
      </w:pPr>
      <w:r>
        <w:t>Public consultation notice template</w:t>
      </w:r>
    </w:p>
    <w:p>
      <w:r>
        <w:t>[AUTHORITY] is consulting on proposed rules for [ACTIVITIES] in [JURISDICTION]. The proposal aims to address [PLAIN LANGUAGE PROBLEM]. It is a draft, and no decision has been made.</w:t>
      </w:r>
    </w:p>
    <w:p>
      <w:r>
        <w:t>Read the draft regulation, explanatory annex, evidence register and impact assessment at [ACCESSIBLE LINK OR PHYSICAL LOCATION]. Responses may be submitted by [METHODS] until [DATE AND TIME]. Tell us if you need another format, language or reasonable participation adjustment through [CONTACT].</w:t>
      </w:r>
    </w:p>
    <w:p>
      <w:r>
        <w:t>We will publish a response analysis and reasons for the final decision. Explain which provision you are commenting on, the evidence or experience supporting your view, and any alternative you propose. Do not submit unnecessary personal or health information. The privacy notice at [LINK] explains how responses will be handled.</w:t>
      </w:r>
    </w:p>
    <w:p>
      <w:pPr>
        <w:pStyle w:val="Heading1"/>
      </w:pPr>
      <w:r>
        <w:t>Implementation readiness checklist</w:t>
      </w:r>
    </w:p>
    <w:p>
      <w:pPr>
        <w:pStyle w:val="ListBullet"/>
      </w:pPr>
      <w:r>
        <w:t>Final instrument legally reviewed, adopted and published in the required form.</w:t>
      </w:r>
    </w:p>
    <w:p>
      <w:pPr>
        <w:pStyle w:val="ListBullet"/>
      </w:pPr>
      <w:r>
        <w:t>Plain-language and accessible guidance available for each affected audience.</w:t>
      </w:r>
    </w:p>
    <w:p>
      <w:pPr>
        <w:pStyle w:val="ListBullet"/>
      </w:pPr>
      <w:r>
        <w:t>Application, renewal, inspection, complaint, correction, review and appeal processes tested.</w:t>
      </w:r>
    </w:p>
    <w:p>
      <w:pPr>
        <w:pStyle w:val="ListBullet"/>
      </w:pPr>
      <w:r>
        <w:t>Fees and service standards published with any waiver or hardship mechanism authorised by law.</w:t>
      </w:r>
    </w:p>
    <w:p>
      <w:pPr>
        <w:pStyle w:val="ListBullet"/>
      </w:pPr>
      <w:r>
        <w:t>Inspectors trained and calibration exercises completed using realistic scenarios.</w:t>
      </w:r>
    </w:p>
    <w:p>
      <w:pPr>
        <w:pStyle w:val="ListBullet"/>
      </w:pPr>
      <w:r>
        <w:t>Privacy, information security, records, publication and retention controls approved.</w:t>
      </w:r>
    </w:p>
    <w:p>
      <w:pPr>
        <w:pStyle w:val="ListBullet"/>
      </w:pPr>
      <w:r>
        <w:t>Critical-incident escalation and inter-agency contacts tested.</w:t>
      </w:r>
    </w:p>
    <w:p>
      <w:pPr>
        <w:pStyle w:val="ListBullet"/>
      </w:pPr>
      <w:r>
        <w:t>Transition dates and legacy arrangements communicated.</w:t>
      </w:r>
    </w:p>
    <w:p>
      <w:pPr>
        <w:pStyle w:val="ListBullet"/>
      </w:pPr>
      <w:r>
        <w:t>Baseline measures recorded and first evaluation date scheduled.</w:t>
      </w:r>
    </w:p>
    <w:p>
      <w:pPr>
        <w:pStyle w:val="Heading1"/>
      </w:pPr>
      <w:r>
        <w:t>Neutral attribution and professional resources</w:t>
      </w:r>
    </w:p>
    <w:p>
      <w:r>
        <w:t>Suggested acknowledgement: This instrument was developed with reference to the BAQA Authority Resource Centre and other cited public-health sources. Adaptation does not imply endorsement by BAQA.</w:t>
      </w:r>
    </w:p>
    <w:p>
      <w:r>
        <w:t>If an authority lists professional bodies or voluntary registers, it should use published, objective and non-exclusive criteria. BAQA may be listed as one voluntary resource where it meets those criteria, but BAQA membership must not be treated as a government licence or automatic evidence of compliance.</w:t>
      </w:r>
    </w:p>
    <w:p>
      <w:pPr>
        <w:pStyle w:val="Heading1"/>
      </w:pPr>
      <w:r>
        <w:t>Reference sources</w:t>
      </w:r>
    </w:p>
    <w:p>
      <w:pPr>
        <w:pStyle w:val="ListBullet"/>
      </w:pPr>
      <w:r>
        <w:rPr>
          <w:b/>
        </w:rPr>
        <w:t xml:space="preserve">National Environmental Health Association Body Art Model Code and Annex: </w:t>
      </w:r>
      <w:r>
        <w:t>https://www.neha.org/body-art</w:t>
      </w:r>
    </w:p>
    <w:p>
      <w:pPr>
        <w:pStyle w:val="ListBullet"/>
      </w:pPr>
      <w:r>
        <w:rPr>
          <w:b/>
        </w:rPr>
        <w:t xml:space="preserve">NEHA Body Art Model Code Adoption Toolkit: </w:t>
      </w:r>
      <w:r>
        <w:t>https://www.neha.org/bamc-toolkit</w:t>
      </w:r>
    </w:p>
    <w:p>
      <w:pPr>
        <w:pStyle w:val="ListBullet"/>
      </w:pPr>
      <w:r>
        <w:rPr>
          <w:b/>
        </w:rPr>
        <w:t xml:space="preserve">United States Food and Drug Administration Tattoos Temporary Tattoos and Permanent Makeup: </w:t>
      </w:r>
      <w:r>
        <w:t>https://www.fda.gov/cosmetics/cosmetic-products/tattoos-temporary-tattoos-permanent-makeup</w:t>
      </w:r>
    </w:p>
    <w:p>
      <w:pPr>
        <w:pStyle w:val="ListBullet"/>
      </w:pPr>
      <w:r>
        <w:rPr>
          <w:b/>
        </w:rPr>
        <w:t xml:space="preserve">United Kingdom Health Security Agency Tattooing and body piercing infection prevention and control: </w:t>
      </w:r>
      <w:r>
        <w:t>https://www.gov.uk/guidance/tattooing-and-body-piercing-infection-prevention-and-control</w:t>
      </w:r>
    </w:p>
    <w:p>
      <w:pPr>
        <w:pStyle w:val="ListBullet"/>
      </w:pPr>
      <w:r>
        <w:rPr>
          <w:b/>
        </w:rPr>
        <w:t xml:space="preserve">World Health Organization Guidelines on Hand Hygiene in Health Care: </w:t>
      </w:r>
      <w:r>
        <w:t>https://www.who.int/publications/i/item/9789241597906</w:t>
      </w:r>
    </w:p>
    <w:p>
      <w:pPr>
        <w:pStyle w:val="ListBullet"/>
      </w:pPr>
      <w:r>
        <w:rPr>
          <w:b/>
        </w:rPr>
        <w:t xml:space="preserve">Creative Commons Attribution 4.0 International licence: </w:t>
      </w:r>
      <w:r>
        <w:t>https://creativecommons.org/licenses/by/4.0/</w:t>
      </w:r>
    </w:p>
    <w:p>
      <w:r>
        <w:rPr>
          <w:b/>
        </w:rPr>
        <w:t xml:space="preserve">Source control. </w:t>
      </w:r>
      <w:r>
        <w:t>References are starting points, not universal law. Record the edition and access date used, assess local applicability, and document why each adopted requirement is necessary and proportionate.</w:t>
      </w:r>
    </w:p>
    <w:p>
      <w:pPr>
        <w:pStyle w:val="Heading1"/>
      </w:pPr>
      <w:r>
        <w:t>Licence and attribution</w:t>
      </w:r>
    </w:p>
    <w:p>
      <w:r>
        <w:t>Copyright BAQA. Licensed under Creative Commons Attribution 4.0 International. You may share and adapt this pack with appropriate credit, an indication of changes and no implication of BAQA endorsement.</w:t>
      </w:r>
    </w:p>
    <w:sectPr w:rsidR="00FC693F" w:rsidRPr="0006063C" w:rsidSect="00034616">
      <w:footerReference w:type="default" r:id="rId9"/>
      <w:pgSz w:w="12240" w:h="15840"/>
      <w:pgMar w:top="1080" w:right="1181" w:bottom="1037" w:left="118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ptos" w:hAnsi="Aptos"/>
        <w:color w:val="665D57"/>
        <w:sz w:val="16"/>
      </w:rPr>
      <w:t>BAQA Regulation Adoption and Consultation Pack | Free to use and adapt with attribution | baqastandards.com</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59" w:lineRule="auto"/>
    </w:pPr>
    <w:rPr>
      <w:rFonts w:ascii="Aptos" w:hAnsi="Aptos"/>
      <w:color w:val="1E1E1E"/>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120"/>
      <w:outlineLvl w:val="0"/>
    </w:pPr>
    <w:rPr>
      <w:rFonts w:asciiTheme="majorHAnsi" w:eastAsiaTheme="majorEastAsia" w:hAnsiTheme="majorHAnsi" w:cstheme="majorBidi" w:ascii="Aptos Display" w:hAnsi="Aptos Display"/>
      <w:b/>
      <w:bCs/>
      <w:color w:val="000000"/>
      <w:sz w:val="34"/>
      <w:szCs w:val="28"/>
    </w:rPr>
  </w:style>
  <w:style w:type="paragraph" w:styleId="Heading2">
    <w:name w:val="heading 2"/>
    <w:basedOn w:val="Normal"/>
    <w:next w:val="Normal"/>
    <w:link w:val="Heading2Char"/>
    <w:uiPriority w:val="9"/>
    <w:unhideWhenUsed/>
    <w:qFormat/>
    <w:rsid w:val="00FC693F"/>
    <w:pPr>
      <w:keepNext/>
      <w:keepLines/>
      <w:spacing w:before="200" w:after="80"/>
      <w:outlineLvl w:val="1"/>
    </w:pPr>
    <w:rPr>
      <w:rFonts w:asciiTheme="majorHAnsi" w:eastAsiaTheme="majorEastAsia" w:hAnsiTheme="majorHAnsi" w:cstheme="majorBidi" w:ascii="Aptos Display" w:hAnsi="Aptos Display"/>
      <w:b/>
      <w:bCs/>
      <w:color w:val="000000"/>
      <w:sz w:val="26"/>
      <w:szCs w:val="26"/>
    </w:rPr>
  </w:style>
  <w:style w:type="paragraph" w:styleId="Heading3">
    <w:name w:val="heading 3"/>
    <w:basedOn w:val="Normal"/>
    <w:next w:val="Normal"/>
    <w:link w:val="Heading3Char"/>
    <w:uiPriority w:val="9"/>
    <w:unhideWhenUsed/>
    <w:qFormat/>
    <w:rsid w:val="00FC693F"/>
    <w:pPr>
      <w:keepNext/>
      <w:keepLines/>
      <w:spacing w:before="140" w:after="60"/>
      <w:outlineLvl w:val="2"/>
    </w:pPr>
    <w:rPr>
      <w:rFonts w:asciiTheme="majorHAnsi" w:eastAsiaTheme="majorEastAsia" w:hAnsiTheme="majorHAnsi" w:cstheme="majorBidi" w:ascii="Aptos" w:hAnsi="Aptos"/>
      <w:b/>
      <w:bCs/>
      <w:color w:val="000000"/>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spacing w:after="280" w:line="240" w:lineRule="auto" w:before="0"/>
      <w:contextualSpacing/>
    </w:pPr>
    <w:rPr>
      <w:rFonts w:asciiTheme="majorHAnsi" w:eastAsiaTheme="majorEastAsia" w:hAnsiTheme="majorHAnsi" w:cstheme="majorBidi" w:ascii="Aptos Display" w:hAnsi="Aptos Display"/>
      <w:b/>
      <w:color w:val="000000"/>
      <w:spacing w:val="5"/>
      <w:kern w:val="28"/>
      <w:sz w:val="5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spacing w:after="160"/>
    </w:pPr>
    <w:rPr>
      <w:rFonts w:asciiTheme="majorHAnsi" w:eastAsiaTheme="majorEastAsia" w:hAnsiTheme="majorHAnsi" w:cstheme="majorBidi" w:ascii="Aptos" w:hAnsi="Aptos"/>
      <w:i/>
      <w:iCs/>
      <w:color w:val="000000"/>
      <w:spacing w:val="15"/>
      <w:sz w:val="26"/>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BAQAMetadata">
    <w:name w:val="BAQA Metadata"/>
    <w:pPr>
      <w:spacing w:after="60"/>
    </w:pPr>
    <w:rPr>
      <w:rFonts w:ascii="Aptos" w:hAnsi="Aptos"/>
      <w:color w:val="5A514C"/>
      <w:sz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