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Body Art Inspection and Risk Assessment Toolkit</w:t>
      </w:r>
    </w:p>
    <w:p>
      <w:pPr>
        <w:pStyle w:val="Subtitle"/>
      </w:pPr>
      <w:r>
        <w:t>A structured checklist for authorised officers and local implementation teams</w:t>
      </w:r>
    </w:p>
    <w:p>
      <w:pPr>
        <w:pStyle w:val="BAQAMetadata"/>
      </w:pPr>
      <w:r>
        <w:t>Document BAQA-AUTH-INSPECT-001   Version 0.1   Published 4 September 2026</w:t>
      </w:r>
    </w:p>
    <w:p>
      <w:pPr>
        <w:pStyle w:val="BAQAMetadata"/>
      </w:pPr>
      <w:r>
        <w:t>Status: Free adaptable model for consultation and local legal review</w:t>
      </w:r>
    </w:p>
    <w:p>
      <w:r>
        <w:rPr>
          <w:b/>
        </w:rPr>
        <w:t xml:space="preserve">Important scope. </w:t>
      </w:r>
      <w:r>
        <w:t>This is a non-binding starting point, not legal advice and not a substitute for the legislation, public-health evidence, constitutional duties or rule-making procedure that applies in a jurisdiction. The adopting authority must obtain local legal and technical review, consult affected communities and publish the final evidence and reasons for its decisions.</w:t>
      </w:r>
    </w:p>
    <w:p>
      <w:pPr>
        <w:pStyle w:val="Heading1"/>
      </w:pPr>
      <w:r>
        <w:t>Use and limits</w:t>
      </w:r>
    </w:p>
    <w:p>
      <w:r>
        <w:t>The Authority must align every item with an adopted legal requirement before using this document for enforcement. An unchecked item is not automatically a violation; the officer must record facts, evidence and the applicable legal clause. Clinical diagnosis is outside this checklist.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30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Inspection field</w:t>
            </w:r>
          </w:p>
        </w:tc>
        <w:tc>
          <w:tcPr>
            <w:tcW w:type="dxa" w:w="66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Entry</w:t>
            </w:r>
          </w:p>
        </w:tc>
      </w:tr>
      <w:tr>
        <w:trPr>
          <w:cantSplit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Authority and legal instrument</w:t>
            </w:r>
          </w:p>
        </w:tc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[AUTHORITY]  [REGULATION OR BYLAW]</w:t>
            </w:r>
          </w:p>
        </w:tc>
      </w:tr>
      <w:tr>
        <w:trPr>
          <w:cantSplit/>
        </w:trPr>
        <w:tc>
          <w:tcPr>
            <w:tcW w:type="dxa" w:w="30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Establishment and address</w:t>
            </w:r>
          </w:p>
        </w:tc>
        <w:tc>
          <w:tcPr>
            <w:tcW w:type="dxa" w:w="66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[NAME]  [ADDRESS]</w:t>
            </w:r>
          </w:p>
        </w:tc>
      </w:tr>
      <w:tr>
        <w:trPr>
          <w:cantSplit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Operator and responsible person</w:t>
            </w:r>
          </w:p>
        </w:tc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[NAME]  [CONTACT]</w:t>
            </w:r>
          </w:p>
        </w:tc>
      </w:tr>
      <w:tr>
        <w:trPr>
          <w:cantSplit/>
        </w:trPr>
        <w:tc>
          <w:tcPr>
            <w:tcW w:type="dxa" w:w="30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Licence or registration</w:t>
            </w:r>
          </w:p>
        </w:tc>
        <w:tc>
          <w:tcPr>
            <w:tcW w:type="dxa" w:w="66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[NUMBER]  [STATUS]  [EXPIRY]</w:t>
            </w:r>
          </w:p>
        </w:tc>
      </w:tr>
      <w:tr>
        <w:trPr>
          <w:cantSplit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Inspection type and date</w:t>
            </w:r>
          </w:p>
        </w:tc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[ROUTINE / COMPLAINT / FOLLOW UP]  [DATE]</w:t>
            </w:r>
          </w:p>
        </w:tc>
      </w:tr>
      <w:tr>
        <w:trPr>
          <w:cantSplit/>
        </w:trPr>
        <w:tc>
          <w:tcPr>
            <w:tcW w:type="dxa" w:w="30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Authorised officer</w:t>
            </w:r>
          </w:p>
        </w:tc>
        <w:tc>
          <w:tcPr>
            <w:tcW w:type="dxa" w:w="66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[NAME AND AUTHORISATION]</w:t>
            </w:r>
          </w:p>
        </w:tc>
      </w:tr>
    </w:tbl>
    <w:p/>
    <w:p>
      <w:pPr>
        <w:pStyle w:val="Heading1"/>
      </w:pPr>
      <w:r>
        <w:t>Risk classification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44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Class</w:t>
            </w:r>
          </w:p>
        </w:tc>
        <w:tc>
          <w:tcPr>
            <w:tcW w:type="dxa" w:w="48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Meaning</w:t>
            </w:r>
          </w:p>
        </w:tc>
        <w:tc>
          <w:tcPr>
            <w:tcW w:type="dxa" w:w="345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Typical response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Critical</w:t>
            </w:r>
          </w:p>
        </w:tc>
        <w:tc>
          <w:tcPr>
            <w:tcW w:type="dxa" w:w="48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Observed condition presents or is reasonably likely to present an imminent or substantial risk of harm.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Immediate control; escalate under lawful emergency powers; verify correction.</w:t>
            </w:r>
          </w:p>
        </w:tc>
      </w:tr>
      <w:tr>
        <w:trPr>
          <w:cantSplit/>
        </w:trPr>
        <w:tc>
          <w:tcPr>
            <w:tcW w:type="dxa" w:w="14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Major</w:t>
            </w:r>
          </w:p>
        </w:tc>
        <w:tc>
          <w:tcPr>
            <w:tcW w:type="dxa" w:w="48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Significant control failure that could materially increase risk but is not assessed as an immediate critical condition.</w:t>
            </w:r>
          </w:p>
        </w:tc>
        <w:tc>
          <w:tcPr>
            <w:tcW w:type="dxa" w:w="345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Written corrective action with a short, risk-based deadline and follow-up.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Routine</w:t>
            </w:r>
          </w:p>
        </w:tc>
        <w:tc>
          <w:tcPr>
            <w:tcW w:type="dxa" w:w="48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Lower-risk administrative, maintenance or documentation deficiency.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Reasonable correction period; confirm at follow-up or next inspection.</w:t>
            </w:r>
          </w:p>
        </w:tc>
      </w:tr>
      <w:tr>
        <w:trPr>
          <w:cantSplit/>
        </w:trPr>
        <w:tc>
          <w:tcPr>
            <w:tcW w:type="dxa" w:w="14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Observation</w:t>
            </w:r>
          </w:p>
        </w:tc>
        <w:tc>
          <w:tcPr>
            <w:tcW w:type="dxa" w:w="48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Advice or improvement opportunity not enforceable under the cited instrument.</w:t>
            </w:r>
          </w:p>
        </w:tc>
        <w:tc>
          <w:tcPr>
            <w:tcW w:type="dxa" w:w="345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Record separately and do not present as a violation.</w:t>
            </w:r>
          </w:p>
        </w:tc>
      </w:tr>
    </w:tbl>
    <w:p/>
    <w:p>
      <w:pPr>
        <w:pStyle w:val="Heading1"/>
      </w:pPr>
      <w:r>
        <w:t>Authorisation and scope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6"/>
        <w:gridCol w:w="1976"/>
        <w:gridCol w:w="1976"/>
        <w:gridCol w:w="1976"/>
        <w:gridCol w:w="1976"/>
      </w:tblGrid>
      <w:tr>
        <w:trPr>
          <w:tblHeader w:val="true"/>
        </w:trPr>
        <w:tc>
          <w:tcPr>
            <w:tcW w:type="dxa" w:w="60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348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Control point</w:t>
            </w:r>
          </w:p>
        </w:tc>
        <w:tc>
          <w:tcPr>
            <w:tcW w:type="dxa" w:w="12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Class</w:t>
            </w:r>
          </w:p>
        </w:tc>
        <w:tc>
          <w:tcPr>
            <w:tcW w:type="dxa" w:w="324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Observation</w:t>
            </w:r>
          </w:p>
        </w:tc>
        <w:tc>
          <w:tcPr>
            <w:tcW w:type="dxa" w:w="1152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Legal clause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Current establishment and practitioner permissions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Approved activities match services observed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3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Responsible person and contact details current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4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Temporary mobile or guest activity separately authorised where required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</w:tbl>
    <w:p/>
    <w:p>
      <w:pPr>
        <w:pStyle w:val="Heading1"/>
      </w:pPr>
      <w:r>
        <w:t>Facility and workflow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6"/>
        <w:gridCol w:w="1976"/>
        <w:gridCol w:w="1976"/>
        <w:gridCol w:w="1976"/>
        <w:gridCol w:w="1976"/>
      </w:tblGrid>
      <w:tr>
        <w:trPr>
          <w:tblHeader w:val="true"/>
        </w:trPr>
        <w:tc>
          <w:tcPr>
            <w:tcW w:type="dxa" w:w="60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348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Control point</w:t>
            </w:r>
          </w:p>
        </w:tc>
        <w:tc>
          <w:tcPr>
            <w:tcW w:type="dxa" w:w="12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Class</w:t>
            </w:r>
          </w:p>
        </w:tc>
        <w:tc>
          <w:tcPr>
            <w:tcW w:type="dxa" w:w="324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Observation</w:t>
            </w:r>
          </w:p>
        </w:tc>
        <w:tc>
          <w:tcPr>
            <w:tcW w:type="dxa" w:w="1152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Legal clause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5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Procedure area separated from incompatible activities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6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Clean and contaminated flows identifiable and controlled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7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Surfaces intact cleanable and maintained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8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Lighting ventilation water and sanitation meet adopted requirements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9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Food animals smoking and unauthorised persons controlled under local rules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</w:tbl>
    <w:p/>
    <w:p>
      <w:pPr>
        <w:pStyle w:val="Heading1"/>
      </w:pPr>
      <w:r>
        <w:t>Hand hygiene and protective measures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6"/>
        <w:gridCol w:w="1976"/>
        <w:gridCol w:w="1976"/>
        <w:gridCol w:w="1976"/>
        <w:gridCol w:w="1976"/>
      </w:tblGrid>
      <w:tr>
        <w:trPr>
          <w:tblHeader w:val="true"/>
        </w:trPr>
        <w:tc>
          <w:tcPr>
            <w:tcW w:type="dxa" w:w="60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348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Control point</w:t>
            </w:r>
          </w:p>
        </w:tc>
        <w:tc>
          <w:tcPr>
            <w:tcW w:type="dxa" w:w="12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Class</w:t>
            </w:r>
          </w:p>
        </w:tc>
        <w:tc>
          <w:tcPr>
            <w:tcW w:type="dxa" w:w="324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Observation</w:t>
            </w:r>
          </w:p>
        </w:tc>
        <w:tc>
          <w:tcPr>
            <w:tcW w:type="dxa" w:w="1152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Legal clause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10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Handwashing point accessible and supplied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11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Hand hygiene observed at required moments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12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Gloves selected and changed appropriately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13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Protective clothing eye or face protection used according to assessed exposure risk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14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Skin preparation and barrier practices align with adopted procedure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</w:tbl>
    <w:p/>
    <w:p>
      <w:pPr>
        <w:pStyle w:val="Heading1"/>
      </w:pPr>
      <w:r>
        <w:t>Instruments sterilisation and single use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6"/>
        <w:gridCol w:w="1976"/>
        <w:gridCol w:w="1976"/>
        <w:gridCol w:w="1976"/>
        <w:gridCol w:w="1976"/>
      </w:tblGrid>
      <w:tr>
        <w:trPr>
          <w:tblHeader w:val="true"/>
        </w:trPr>
        <w:tc>
          <w:tcPr>
            <w:tcW w:type="dxa" w:w="60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348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Control point</w:t>
            </w:r>
          </w:p>
        </w:tc>
        <w:tc>
          <w:tcPr>
            <w:tcW w:type="dxa" w:w="12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Class</w:t>
            </w:r>
          </w:p>
        </w:tc>
        <w:tc>
          <w:tcPr>
            <w:tcW w:type="dxa" w:w="324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Observation</w:t>
            </w:r>
          </w:p>
        </w:tc>
        <w:tc>
          <w:tcPr>
            <w:tcW w:type="dxa" w:w="1152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Legal clause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15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Single-use items identifiable and discarded after one client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16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Sharps containers compliant accessible and not overfilled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17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Reusable critical items move through cleaning packaging sterilisation and protected storage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18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Steriliser cycle mechanical chemical and biological monitoring records complete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19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Failed cycles or compromised packs are quarantined and investigated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</w:tbl>
    <w:p/>
    <w:p>
      <w:pPr>
        <w:pStyle w:val="Heading1"/>
      </w:pPr>
      <w:r>
        <w:t>Products jewellery and traceability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6"/>
        <w:gridCol w:w="1976"/>
        <w:gridCol w:w="1976"/>
        <w:gridCol w:w="1976"/>
        <w:gridCol w:w="1976"/>
      </w:tblGrid>
      <w:tr>
        <w:trPr>
          <w:tblHeader w:val="true"/>
        </w:trPr>
        <w:tc>
          <w:tcPr>
            <w:tcW w:type="dxa" w:w="60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348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Control point</w:t>
            </w:r>
          </w:p>
        </w:tc>
        <w:tc>
          <w:tcPr>
            <w:tcW w:type="dxa" w:w="12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Class</w:t>
            </w:r>
          </w:p>
        </w:tc>
        <w:tc>
          <w:tcPr>
            <w:tcW w:type="dxa" w:w="324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Observation</w:t>
            </w:r>
          </w:p>
        </w:tc>
        <w:tc>
          <w:tcPr>
            <w:tcW w:type="dxa" w:w="1152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Legal clause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20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Products and jewellery lawful and suitable for intended use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21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Batch lot expiry supplier and client links retrievable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22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Opened products protected from cross-contamination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23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Recall and stock-isolation process available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24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Initial-piercing jewellery criteria applied where relevant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</w:tbl>
    <w:p/>
    <w:p>
      <w:pPr>
        <w:pStyle w:val="Heading1"/>
      </w:pPr>
      <w:r>
        <w:t>Consent aftercare and safeguarding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6"/>
        <w:gridCol w:w="1976"/>
        <w:gridCol w:w="1976"/>
        <w:gridCol w:w="1976"/>
        <w:gridCol w:w="1976"/>
      </w:tblGrid>
      <w:tr>
        <w:trPr>
          <w:tblHeader w:val="true"/>
        </w:trPr>
        <w:tc>
          <w:tcPr>
            <w:tcW w:type="dxa" w:w="60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348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Control point</w:t>
            </w:r>
          </w:p>
        </w:tc>
        <w:tc>
          <w:tcPr>
            <w:tcW w:type="dxa" w:w="12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Class</w:t>
            </w:r>
          </w:p>
        </w:tc>
        <w:tc>
          <w:tcPr>
            <w:tcW w:type="dxa" w:w="324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Observation</w:t>
            </w:r>
          </w:p>
        </w:tc>
        <w:tc>
          <w:tcPr>
            <w:tcW w:type="dxa" w:w="1152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Legal clause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25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Identity age consent capacity and guardian requirements applied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26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Procedure risks limits costs and aftercare explained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27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Language and accessibility needs considered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28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Privacy maintained during consultation and procedure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29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Postpone decline and referral boundaries understood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</w:tbl>
    <w:p/>
    <w:p>
      <w:pPr>
        <w:pStyle w:val="Heading1"/>
      </w:pPr>
      <w:r>
        <w:t>Records incidents and worker safety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6"/>
        <w:gridCol w:w="1976"/>
        <w:gridCol w:w="1976"/>
        <w:gridCol w:w="1976"/>
        <w:gridCol w:w="1976"/>
      </w:tblGrid>
      <w:tr>
        <w:trPr>
          <w:tblHeader w:val="true"/>
        </w:trPr>
        <w:tc>
          <w:tcPr>
            <w:tcW w:type="dxa" w:w="60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3485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Control point</w:t>
            </w:r>
          </w:p>
        </w:tc>
        <w:tc>
          <w:tcPr>
            <w:tcW w:type="dxa" w:w="12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Class</w:t>
            </w:r>
          </w:p>
        </w:tc>
        <w:tc>
          <w:tcPr>
            <w:tcW w:type="dxa" w:w="324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Observation</w:t>
            </w:r>
          </w:p>
        </w:tc>
        <w:tc>
          <w:tcPr>
            <w:tcW w:type="dxa" w:w="1152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Legal clause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30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Client procedure practitioner and product records complete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31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Retention access disposal and breach controls align with law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32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Exposure spill injury and adverse-event procedures available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33</w:t>
            </w:r>
          </w:p>
        </w:tc>
        <w:tc>
          <w:tcPr>
            <w:tcW w:type="dxa" w:w="3485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Incidents and required notifications recorded</w:t>
            </w:r>
          </w:p>
        </w:tc>
        <w:tc>
          <w:tcPr>
            <w:tcW w:type="dxa" w:w="12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  <w:tr>
        <w:trPr>
          <w:cantSplit/>
        </w:trPr>
        <w:tc>
          <w:tcPr>
            <w:tcW w:type="dxa" w:w="60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34</w:t>
            </w:r>
          </w:p>
        </w:tc>
        <w:tc>
          <w:tcPr>
            <w:tcW w:type="dxa" w:w="348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Worker training competence and occupational controls documented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 / M / R / O / N/A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[Facts and 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</w:tr>
    </w:tbl>
    <w:p/>
    <w:p>
      <w:pPr>
        <w:pStyle w:val="Heading1"/>
      </w:pPr>
      <w:r>
        <w:t>Corrective action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</w:tblGrid>
      <w:tr>
        <w:trPr>
          <w:tblHeader w:val="true"/>
        </w:trPr>
        <w:tc>
          <w:tcPr>
            <w:tcW w:type="dxa" w:w="648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type="dxa" w:w="3096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Required action</w:t>
            </w:r>
          </w:p>
        </w:tc>
        <w:tc>
          <w:tcPr>
            <w:tcW w:type="dxa" w:w="108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Legal basis</w:t>
            </w:r>
          </w:p>
        </w:tc>
        <w:tc>
          <w:tcPr>
            <w:tcW w:type="dxa" w:w="108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Due date</w:t>
            </w:r>
          </w:p>
        </w:tc>
        <w:tc>
          <w:tcPr>
            <w:tcW w:type="dxa" w:w="1800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Responsible person</w:t>
            </w:r>
          </w:p>
        </w:tc>
        <w:tc>
          <w:tcPr>
            <w:tcW w:type="dxa" w:w="2088"/>
            <w:shd w:fill="332F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FFFFFF"/>
              </w:rPr>
              <w:t>Verified</w:t>
            </w:r>
          </w:p>
        </w:tc>
      </w:tr>
      <w:tr>
        <w:trPr>
          <w:cantSplit/>
        </w:trP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[NO]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[ACTION]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[DATE]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[NAME]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[DATE AND OFFICER]</w:t>
            </w:r>
          </w:p>
        </w:tc>
      </w:tr>
      <w:tr>
        <w:trPr>
          <w:cantSplit/>
        </w:trPr>
        <w:tc>
          <w:tcPr>
            <w:tcW w:type="dxa" w:w="648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[NO]</w:t>
            </w:r>
          </w:p>
        </w:tc>
        <w:tc>
          <w:tcPr>
            <w:tcW w:type="dxa" w:w="3096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[ACTION]</w:t>
            </w:r>
          </w:p>
        </w:tc>
        <w:tc>
          <w:tcPr>
            <w:tcW w:type="dxa" w:w="108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  <w:tc>
          <w:tcPr>
            <w:tcW w:type="dxa" w:w="108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[DATE]</w:t>
            </w:r>
          </w:p>
        </w:tc>
        <w:tc>
          <w:tcPr>
            <w:tcW w:type="dxa" w:w="1800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[NAME]</w:t>
            </w:r>
          </w:p>
        </w:tc>
        <w:tc>
          <w:tcPr>
            <w:tcW w:type="dxa" w:w="2088"/>
            <w:shd w:fill="F4F2E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[DATE AND OFFICER]</w:t>
            </w:r>
          </w:p>
        </w:tc>
      </w:tr>
      <w:tr>
        <w:trPr>
          <w:cantSplit/>
        </w:trP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[NO]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[ACTION]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[CLAUSE]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[DATE]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[NAME]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[DATE AND OFFICER]</w:t>
            </w:r>
          </w:p>
        </w:tc>
      </w:tr>
    </w:tbl>
    <w:p/>
    <w:p>
      <w:pPr>
        <w:pStyle w:val="Heading1"/>
      </w:pPr>
      <w:r>
        <w:t>Inspection conclusion</w:t>
      </w:r>
    </w:p>
    <w:p>
      <w:pPr>
        <w:pStyle w:val="ListBullet"/>
      </w:pPr>
      <w:r>
        <w:t>State the observed facts and the risk reasoning separately from allegations or background information.</w:t>
      </w:r>
    </w:p>
    <w:p>
      <w:pPr>
        <w:pStyle w:val="ListBullet"/>
      </w:pPr>
      <w:r>
        <w:t>Identify immediate controls, correction deadlines and the method of verification.</w:t>
      </w:r>
    </w:p>
    <w:p>
      <w:pPr>
        <w:pStyle w:val="ListBullet"/>
      </w:pPr>
      <w:r>
        <w:t>Provide the operator with the report, contact route and any review or appeal information required by law.</w:t>
      </w:r>
    </w:p>
    <w:p>
      <w:pPr>
        <w:pStyle w:val="ListBullet"/>
      </w:pPr>
      <w:r>
        <w:t>Protect confidential, health-related and third-party information in inspection records and public disclosures.</w:t>
      </w:r>
    </w:p>
    <w:p>
      <w:pPr>
        <w:pStyle w:val="ListBullet"/>
      </w:pPr>
      <w:r>
        <w:t>Record officer name, authorisation, signature method and completion date according to Authority policy.</w:t>
      </w:r>
    </w:p>
    <w:p>
      <w:pPr>
        <w:pStyle w:val="Heading1"/>
      </w:pPr>
      <w:r>
        <w:t>Reference sources</w:t>
      </w:r>
    </w:p>
    <w:p>
      <w:pPr>
        <w:pStyle w:val="ListBullet"/>
      </w:pPr>
      <w:r>
        <w:rPr>
          <w:b/>
        </w:rPr>
        <w:t xml:space="preserve">National Environmental Health Association Body Art Model Code and Annex: </w:t>
      </w:r>
      <w:r>
        <w:t>https://www.neha.org/body-art</w:t>
      </w:r>
    </w:p>
    <w:p>
      <w:pPr>
        <w:pStyle w:val="ListBullet"/>
      </w:pPr>
      <w:r>
        <w:rPr>
          <w:b/>
        </w:rPr>
        <w:t xml:space="preserve">NEHA Body Art Model Code Adoption Toolkit: </w:t>
      </w:r>
      <w:r>
        <w:t>https://www.neha.org/bamc-toolkit</w:t>
      </w:r>
    </w:p>
    <w:p>
      <w:pPr>
        <w:pStyle w:val="ListBullet"/>
      </w:pPr>
      <w:r>
        <w:rPr>
          <w:b/>
        </w:rPr>
        <w:t xml:space="preserve">United States Food and Drug Administration Tattoos Temporary Tattoos and Permanent Makeup: </w:t>
      </w:r>
      <w:r>
        <w:t>https://www.fda.gov/cosmetics/cosmetic-products/tattoos-temporary-tattoos-permanent-makeup</w:t>
      </w:r>
    </w:p>
    <w:p>
      <w:pPr>
        <w:pStyle w:val="ListBullet"/>
      </w:pPr>
      <w:r>
        <w:rPr>
          <w:b/>
        </w:rPr>
        <w:t xml:space="preserve">United Kingdom Health Security Agency Tattooing and body piercing infection prevention and control: </w:t>
      </w:r>
      <w:r>
        <w:t>https://www.gov.uk/guidance/tattooing-and-body-piercing-infection-prevention-and-control</w:t>
      </w:r>
    </w:p>
    <w:p>
      <w:pPr>
        <w:pStyle w:val="ListBullet"/>
      </w:pPr>
      <w:r>
        <w:rPr>
          <w:b/>
        </w:rPr>
        <w:t xml:space="preserve">World Health Organization Guidelines on Hand Hygiene in Health Care: </w:t>
      </w:r>
      <w:r>
        <w:t>https://www.who.int/publications/i/item/9789241597906</w:t>
      </w:r>
    </w:p>
    <w:p>
      <w:pPr>
        <w:pStyle w:val="ListBullet"/>
      </w:pPr>
      <w:r>
        <w:rPr>
          <w:b/>
        </w:rPr>
        <w:t xml:space="preserve">Creative Commons Attribution 4.0 International licence: </w:t>
      </w:r>
      <w:r>
        <w:t>https://creativecommons.org/licenses/by/4.0/</w:t>
      </w:r>
    </w:p>
    <w:p>
      <w:r>
        <w:rPr>
          <w:b/>
        </w:rPr>
        <w:t xml:space="preserve">Source control. </w:t>
      </w:r>
      <w:r>
        <w:t>References are starting points, not universal law. Record the edition and access date used, assess local applicability, and document why each adopted requirement is necessary and proportionate.</w:t>
      </w:r>
    </w:p>
    <w:p>
      <w:pPr>
        <w:pStyle w:val="Heading1"/>
      </w:pPr>
      <w:r>
        <w:t>Licence and attribution</w:t>
      </w:r>
    </w:p>
    <w:p>
      <w:r>
        <w:t>Copyright BAQA. Licensed under Creative Commons Attribution 4.0 International. Adaptation does not imply BAQA endorsement. BAQA membership is not a public licence and must not influence an inspection finding.</w:t>
      </w:r>
    </w:p>
    <w:sectPr w:rsidR="00FC693F" w:rsidRPr="0006063C" w:rsidSect="00034616">
      <w:footerReference w:type="default" r:id="rId9"/>
      <w:pgSz w:w="12240" w:h="15840"/>
      <w:pgMar w:top="1080" w:right="1181" w:bottom="1037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65D57"/>
        <w:sz w:val="16"/>
      </w:rPr>
      <w:t>BAQA Inspection and Risk Assessment Toolkit | Free to use and adapt with attribution | baqastandards.com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1E1E1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28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60"/>
    </w:pPr>
    <w:rPr>
      <w:rFonts w:asciiTheme="majorHAnsi" w:eastAsiaTheme="majorEastAsia" w:hAnsiTheme="majorHAnsi" w:cstheme="majorBidi" w:ascii="Aptos" w:hAnsi="Aptos"/>
      <w:i/>
      <w:iCs/>
      <w:color w:val="00000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AQAMetadata">
    <w:name w:val="BAQA Metadata"/>
    <w:pPr>
      <w:spacing w:after="60"/>
    </w:pPr>
    <w:rPr>
      <w:rFonts w:ascii="Aptos" w:hAnsi="Aptos"/>
      <w:color w:val="5A514C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